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CEB5F" w14:textId="77777777" w:rsidR="00414240" w:rsidRDefault="00787C9F">
      <w:pPr>
        <w:rPr>
          <w:rFonts w:ascii="Arial" w:eastAsia="Arial" w:hAnsi="Arial" w:cs="Arial"/>
          <w:b/>
          <w:sz w:val="36"/>
          <w:szCs w:val="36"/>
        </w:rPr>
      </w:pPr>
      <w:r>
        <w:rPr>
          <w:rFonts w:ascii="Arial" w:eastAsia="Arial" w:hAnsi="Arial" w:cs="Arial"/>
          <w:b/>
          <w:sz w:val="36"/>
          <w:szCs w:val="36"/>
        </w:rPr>
        <w:t>Framework Schedule 4 (Framework Management)</w:t>
      </w:r>
    </w:p>
    <w:p w14:paraId="2E3E7B59" w14:textId="77777777" w:rsidR="00414240" w:rsidRDefault="00787C9F">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2E0EC506"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6"/>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414240" w14:paraId="5D0CA0B1" w14:textId="77777777">
        <w:tc>
          <w:tcPr>
            <w:tcW w:w="2928" w:type="dxa"/>
            <w:shd w:val="clear" w:color="auto" w:fill="auto"/>
          </w:tcPr>
          <w:p w14:paraId="07A939CB" w14:textId="77777777" w:rsidR="00414240" w:rsidRDefault="00787C9F">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14:paraId="021AE695" w14:textId="77777777" w:rsidR="00414240" w:rsidRDefault="00787C9F" w:rsidP="00047C3F">
            <w:p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 xml:space="preserve">has the meaning given to it in Paragraph 3.1 of this Schedule; </w:t>
            </w:r>
          </w:p>
        </w:tc>
      </w:tr>
      <w:tr w:rsidR="00414240" w14:paraId="7A9F15EE" w14:textId="77777777">
        <w:tc>
          <w:tcPr>
            <w:tcW w:w="2928" w:type="dxa"/>
            <w:shd w:val="clear" w:color="auto" w:fill="auto"/>
          </w:tcPr>
          <w:p w14:paraId="487D99D8" w14:textId="77777777" w:rsidR="00414240" w:rsidRDefault="00787C9F">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14:paraId="1583C166" w14:textId="77777777" w:rsidR="00414240" w:rsidRDefault="00787C9F" w:rsidP="00047C3F">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 and</w:t>
            </w:r>
          </w:p>
        </w:tc>
      </w:tr>
      <w:tr w:rsidR="00414240" w14:paraId="5409B144" w14:textId="77777777">
        <w:tc>
          <w:tcPr>
            <w:tcW w:w="2928" w:type="dxa"/>
            <w:shd w:val="clear" w:color="auto" w:fill="auto"/>
          </w:tcPr>
          <w:p w14:paraId="44194E49" w14:textId="77777777" w:rsidR="00414240" w:rsidRDefault="00787C9F">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“Supported Schedules”</w:t>
            </w:r>
          </w:p>
        </w:tc>
        <w:tc>
          <w:tcPr>
            <w:tcW w:w="5386" w:type="dxa"/>
            <w:shd w:val="clear" w:color="auto" w:fill="auto"/>
          </w:tcPr>
          <w:p w14:paraId="19DD260E" w14:textId="77777777" w:rsidR="00414240" w:rsidRDefault="00787C9F" w:rsidP="00047C3F">
            <w:p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 xml:space="preserve">has the meaning given to it in Paragraph 8.1 of this </w:t>
            </w:r>
            <w:proofErr w:type="gramStart"/>
            <w:r>
              <w:rPr>
                <w:rFonts w:ascii="Arial" w:eastAsia="Arial" w:hAnsi="Arial" w:cs="Arial"/>
                <w:sz w:val="24"/>
                <w:szCs w:val="24"/>
              </w:rPr>
              <w:t>Schedule.</w:t>
            </w:r>
            <w:proofErr w:type="gramEnd"/>
          </w:p>
        </w:tc>
      </w:tr>
    </w:tbl>
    <w:p w14:paraId="12E250CD" w14:textId="77777777" w:rsidR="00414240" w:rsidRDefault="00787C9F">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14:paraId="0F428CD0"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720ADDB"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0BBA571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14:paraId="06AAFCF9"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14:paraId="68B78F1B" w14:textId="77777777" w:rsidR="00414240" w:rsidRDefault="00787C9F">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14:paraId="64F9F6EB"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14:paraId="648275BA"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14:paraId="7BEB5109"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14:paraId="0D90B8C3"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Supplier’s Framework Manager shall ensure where Service Levels are not being met, that appropriate extra resources are committed promptly and action is taken to resolve any issues to the satisfaction of the Authority which may include a Rectification Plan, as per Joint Schedule 10 (Rectification Plan).</w:t>
      </w:r>
    </w:p>
    <w:p w14:paraId="1A14B648" w14:textId="77777777" w:rsidR="00807B79" w:rsidRPr="00047C3F" w:rsidRDefault="00787C9F">
      <w:pPr>
        <w:numPr>
          <w:ilvl w:val="1"/>
          <w:numId w:val="2"/>
        </w:numP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w:t>
      </w:r>
      <w:r>
        <w:rPr>
          <w:rFonts w:ascii="Arial" w:eastAsia="Arial" w:hAnsi="Arial" w:cs="Arial"/>
          <w:color w:val="000000"/>
          <w:sz w:val="24"/>
          <w:szCs w:val="24"/>
        </w:rPr>
        <w:lastRenderedPageBreak/>
        <w:t xml:space="preserve">unreasonably withhold or delay its agreement to the draft Supplier Action Plan. </w:t>
      </w:r>
    </w:p>
    <w:p w14:paraId="040CD94D" w14:textId="0D553D13" w:rsidR="00414240" w:rsidRDefault="00787C9F">
      <w:pPr>
        <w:numPr>
          <w:ilvl w:val="1"/>
          <w:numId w:val="2"/>
        </w:numP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agreed between the Parties and come into effect within two weeks from receipt by the Supplier of the draft Supplier Action Plan. 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14:paraId="7BF904E2"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14:paraId="1B3D4EDC"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14:paraId="1A071209"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14:paraId="1C4B9B0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14:paraId="1B86C7B1"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14:paraId="1CA77F9C"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14:paraId="60D740E3"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14:paraId="3CE12DAA" w14:textId="77777777" w:rsidR="00414240" w:rsidRDefault="00787C9F">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Supplier Review Meetings</w:t>
      </w:r>
    </w:p>
    <w:p w14:paraId="25A1AD7F"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w:t>
      </w:r>
      <w:r>
        <w:rPr>
          <w:rFonts w:ascii="Arial" w:eastAsia="Arial" w:hAnsi="Arial" w:cs="Arial"/>
          <w:sz w:val="24"/>
          <w:szCs w:val="24"/>
        </w:rPr>
        <w:t>Quarter</w:t>
      </w:r>
      <w:r>
        <w:rPr>
          <w:rFonts w:ascii="Arial" w:eastAsia="Arial" w:hAnsi="Arial" w:cs="Arial"/>
          <w:color w:val="000000"/>
          <w:sz w:val="24"/>
          <w:szCs w:val="24"/>
        </w:rPr>
        <w:t xml:space="preserve">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14:paraId="4689B9B4"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performance under this Contract, including agreeing strategic objectives, resolving issues, identifying potential business opportunities and innovative solutions and, where applicable, the Supplier’s adherence to the Supplier Action Plan. The agenda for each Supplier Review Meeting shall be set by CCS and sent to the Supplier in advance.</w:t>
      </w:r>
    </w:p>
    <w:p w14:paraId="2CA5FCB1"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14:paraId="76DBE505"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14:paraId="6CEDDF09" w14:textId="77777777" w:rsidR="00414240" w:rsidRDefault="0041424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14:paraId="7C923D99"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14:paraId="115214FD"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7"/>
        <w:tblW w:w="8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2551"/>
        <w:gridCol w:w="1418"/>
        <w:gridCol w:w="1417"/>
        <w:gridCol w:w="1462"/>
      </w:tblGrid>
      <w:tr w:rsidR="00414240" w14:paraId="503BD113" w14:textId="77777777">
        <w:trPr>
          <w:jc w:val="center"/>
        </w:trPr>
        <w:tc>
          <w:tcPr>
            <w:tcW w:w="16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FBF1E0"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sz w:val="22"/>
                <w:szCs w:val="22"/>
                <w:highlight w:val="lightGray"/>
              </w:rPr>
              <w:t>Performance Indicator (PI)</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Pr>
          <w:p w14:paraId="207AC830"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sz w:val="22"/>
                <w:szCs w:val="22"/>
                <w:highlight w:val="lightGray"/>
              </w:rPr>
              <w:t>Measured by</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5E9A8D"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Method</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455BE724"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PI Target</w:t>
            </w:r>
          </w:p>
        </w:tc>
        <w:tc>
          <w:tcPr>
            <w:tcW w:w="14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BF3AB3" w14:textId="77777777" w:rsidR="00414240" w:rsidRDefault="00787C9F">
            <w:pPr>
              <w:keepNext/>
              <w:widowControl w:val="0"/>
              <w:pBdr>
                <w:top w:val="nil"/>
                <w:left w:val="nil"/>
                <w:bottom w:val="nil"/>
                <w:right w:val="nil"/>
                <w:between w:val="nil"/>
              </w:pBdr>
              <w:spacing w:before="80" w:after="80"/>
              <w:jc w:val="center"/>
              <w:rPr>
                <w:rFonts w:ascii="Arial" w:eastAsia="Arial" w:hAnsi="Arial" w:cs="Arial"/>
                <w:b/>
                <w:highlight w:val="lightGray"/>
              </w:rPr>
            </w:pPr>
            <w:r>
              <w:rPr>
                <w:rFonts w:ascii="Arial" w:eastAsia="Arial" w:hAnsi="Arial" w:cs="Arial"/>
                <w:b/>
                <w:highlight w:val="lightGray"/>
              </w:rPr>
              <w:t>Lot Applicability</w:t>
            </w:r>
          </w:p>
        </w:tc>
      </w:tr>
      <w:tr w:rsidR="00414240" w14:paraId="5B25925A" w14:textId="77777777">
        <w:trPr>
          <w:jc w:val="center"/>
        </w:trPr>
        <w:tc>
          <w:tcPr>
            <w:tcW w:w="8516" w:type="dxa"/>
            <w:gridSpan w:val="5"/>
            <w:tcBorders>
              <w:top w:val="single" w:sz="4" w:space="0" w:color="000000"/>
              <w:left w:val="single" w:sz="4" w:space="0" w:color="000000"/>
              <w:bottom w:val="single" w:sz="4" w:space="0" w:color="000000"/>
              <w:right w:val="single" w:sz="4" w:space="0" w:color="000000"/>
            </w:tcBorders>
          </w:tcPr>
          <w:p w14:paraId="21D09D0C" w14:textId="77777777" w:rsidR="00414240" w:rsidRDefault="00787C9F">
            <w:pPr>
              <w:keepNext/>
              <w:widowControl w:val="0"/>
              <w:pBdr>
                <w:top w:val="nil"/>
                <w:left w:val="nil"/>
                <w:bottom w:val="nil"/>
                <w:right w:val="nil"/>
                <w:between w:val="nil"/>
              </w:pBdr>
              <w:spacing w:before="80" w:after="80"/>
              <w:ind w:left="142"/>
              <w:jc w:val="center"/>
              <w:rPr>
                <w:rFonts w:ascii="Arial" w:eastAsia="Arial" w:hAnsi="Arial" w:cs="Arial"/>
              </w:rPr>
            </w:pPr>
            <w:r>
              <w:rPr>
                <w:rFonts w:ascii="Arial" w:eastAsia="Arial" w:hAnsi="Arial" w:cs="Arial"/>
                <w:b/>
                <w:sz w:val="22"/>
                <w:szCs w:val="22"/>
              </w:rPr>
              <w:t>[Description of PI]</w:t>
            </w:r>
          </w:p>
        </w:tc>
      </w:tr>
      <w:tr w:rsidR="00414240" w14:paraId="007612FC"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B6C5AF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Monthly MI submission </w:t>
            </w:r>
          </w:p>
        </w:tc>
        <w:tc>
          <w:tcPr>
            <w:tcW w:w="2551" w:type="dxa"/>
            <w:tcBorders>
              <w:top w:val="single" w:sz="4" w:space="0" w:color="000000"/>
              <w:left w:val="single" w:sz="4" w:space="0" w:color="000000"/>
              <w:bottom w:val="single" w:sz="4" w:space="0" w:color="000000"/>
              <w:right w:val="single" w:sz="4" w:space="0" w:color="000000"/>
            </w:tcBorders>
          </w:tcPr>
          <w:p w14:paraId="16EB8304" w14:textId="77777777" w:rsidR="00414240" w:rsidRDefault="00414240">
            <w:pPr>
              <w:widowControl w:val="0"/>
              <w:pBdr>
                <w:top w:val="nil"/>
                <w:left w:val="nil"/>
                <w:bottom w:val="nil"/>
                <w:right w:val="nil"/>
                <w:between w:val="nil"/>
              </w:pBdr>
              <w:spacing w:before="80"/>
              <w:rPr>
                <w:rFonts w:ascii="Arial" w:eastAsia="Arial" w:hAnsi="Arial" w:cs="Arial"/>
              </w:rPr>
            </w:pPr>
          </w:p>
          <w:p w14:paraId="640DE18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Submission of accurate and timely, Management Information to be received in the agreed format on or before DWH close (PI Target)</w:t>
            </w:r>
          </w:p>
          <w:p w14:paraId="0391F746"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11C7FC3E"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02498C3" w14:textId="5AF185B9"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MI Template</w:t>
            </w:r>
          </w:p>
          <w:p w14:paraId="57053A32"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7E966355" w14:textId="77777777" w:rsidR="00414240" w:rsidRDefault="00414240">
            <w:pPr>
              <w:widowControl w:val="0"/>
              <w:pBdr>
                <w:top w:val="nil"/>
                <w:left w:val="nil"/>
                <w:bottom w:val="nil"/>
                <w:right w:val="nil"/>
                <w:between w:val="nil"/>
              </w:pBdr>
              <w:spacing w:before="80"/>
              <w:rPr>
                <w:rFonts w:ascii="Arial" w:eastAsia="Arial" w:hAnsi="Arial" w:cs="Arial"/>
              </w:rPr>
            </w:pPr>
          </w:p>
          <w:p w14:paraId="6A6DA58B" w14:textId="77777777" w:rsidR="00414240" w:rsidRDefault="00414240">
            <w:pPr>
              <w:widowControl w:val="0"/>
              <w:pBdr>
                <w:top w:val="nil"/>
                <w:left w:val="nil"/>
                <w:bottom w:val="nil"/>
                <w:right w:val="nil"/>
                <w:between w:val="nil"/>
              </w:pBdr>
              <w:spacing w:before="80"/>
              <w:rPr>
                <w:rFonts w:ascii="Arial" w:eastAsia="Arial" w:hAnsi="Arial" w:cs="Arial"/>
              </w:rPr>
            </w:pPr>
          </w:p>
          <w:p w14:paraId="0B74B47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As per Framework Schedule 5 section 2</w:t>
            </w:r>
          </w:p>
        </w:tc>
        <w:tc>
          <w:tcPr>
            <w:tcW w:w="1462" w:type="dxa"/>
            <w:tcBorders>
              <w:top w:val="single" w:sz="4" w:space="0" w:color="000000"/>
              <w:left w:val="single" w:sz="4" w:space="0" w:color="000000"/>
              <w:bottom w:val="single" w:sz="4" w:space="0" w:color="000000"/>
              <w:right w:val="single" w:sz="4" w:space="0" w:color="000000"/>
            </w:tcBorders>
            <w:vAlign w:val="center"/>
          </w:tcPr>
          <w:p w14:paraId="173C1372"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4C694CDE" wp14:editId="7EB6C75F">
                  <wp:extent cx="203200" cy="203200"/>
                  <wp:effectExtent l="0" t="0" r="0" b="0"/>
                  <wp:docPr id="1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6C2CA9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450B88D7" wp14:editId="668D675C">
                  <wp:extent cx="203200" cy="203200"/>
                  <wp:effectExtent l="0" t="0" r="0" b="0"/>
                  <wp:docPr id="1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9E1E176"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59C32AA8" wp14:editId="2F486100">
                  <wp:extent cx="203200" cy="203200"/>
                  <wp:effectExtent l="0" t="0" r="0" b="0"/>
                  <wp:docPr id="1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82DF355" w14:textId="45DCEFDA" w:rsidR="006F6AA3"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06BDFB0B" wp14:editId="415497C2">
                  <wp:extent cx="203200" cy="203200"/>
                  <wp:effectExtent l="0" t="0" r="0" b="0"/>
                  <wp:docPr id="15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9933C1D" w14:textId="44BC9953"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Lot5  </w:t>
            </w:r>
            <w:r>
              <w:rPr>
                <w:noProof/>
              </w:rPr>
              <w:drawing>
                <wp:inline distT="0" distB="0" distL="0" distR="0" wp14:anchorId="3D812144" wp14:editId="1DE5F138">
                  <wp:extent cx="203200" cy="203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tc>
      </w:tr>
      <w:tr w:rsidR="00414240" w14:paraId="575B8BE2"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CC2F6FB"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 Self Audit Certificate </w:t>
            </w:r>
          </w:p>
        </w:tc>
        <w:tc>
          <w:tcPr>
            <w:tcW w:w="2551" w:type="dxa"/>
            <w:tcBorders>
              <w:top w:val="single" w:sz="4" w:space="0" w:color="000000"/>
              <w:left w:val="single" w:sz="4" w:space="0" w:color="000000"/>
              <w:bottom w:val="single" w:sz="4" w:space="0" w:color="000000"/>
              <w:right w:val="single" w:sz="4" w:space="0" w:color="000000"/>
            </w:tcBorders>
          </w:tcPr>
          <w:p w14:paraId="6E89E62E" w14:textId="77777777" w:rsidR="00414240" w:rsidRDefault="00414240">
            <w:pPr>
              <w:widowControl w:val="0"/>
              <w:pBdr>
                <w:top w:val="nil"/>
                <w:left w:val="nil"/>
                <w:bottom w:val="nil"/>
                <w:right w:val="nil"/>
                <w:between w:val="nil"/>
              </w:pBdr>
              <w:spacing w:after="80"/>
              <w:rPr>
                <w:rFonts w:ascii="Arial" w:eastAsia="Arial" w:hAnsi="Arial" w:cs="Arial"/>
              </w:rPr>
            </w:pPr>
          </w:p>
          <w:p w14:paraId="3B5066B3" w14:textId="77777777" w:rsidR="00414240" w:rsidRDefault="00787C9F">
            <w:pPr>
              <w:widowControl w:val="0"/>
              <w:pBdr>
                <w:top w:val="nil"/>
                <w:left w:val="nil"/>
                <w:bottom w:val="nil"/>
                <w:right w:val="nil"/>
                <w:between w:val="nil"/>
              </w:pBdr>
              <w:spacing w:after="80"/>
              <w:rPr>
                <w:rFonts w:ascii="Arial" w:eastAsia="Arial" w:hAnsi="Arial" w:cs="Arial"/>
              </w:rPr>
            </w:pPr>
            <w:r>
              <w:rPr>
                <w:rFonts w:ascii="Arial" w:eastAsia="Arial" w:hAnsi="Arial" w:cs="Arial"/>
              </w:rPr>
              <w:t>Provision of annual Self Audit Certificate and audit report to CCS on each anniversary of the Framework Start Date.</w:t>
            </w:r>
          </w:p>
          <w:p w14:paraId="1680C1C3"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Completion of any action identified through a CCS Audit within the agreed timescales.</w:t>
            </w:r>
          </w:p>
          <w:p w14:paraId="64961C6C"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DCD391E" w14:textId="77777777" w:rsidR="00414240" w:rsidRDefault="00787C9F">
            <w:pPr>
              <w:keepNext/>
              <w:widowControl w:val="0"/>
              <w:pBdr>
                <w:top w:val="nil"/>
                <w:left w:val="nil"/>
                <w:bottom w:val="nil"/>
                <w:right w:val="nil"/>
                <w:between w:val="nil"/>
              </w:pBdr>
              <w:spacing w:before="80" w:after="80"/>
              <w:rPr>
                <w:rFonts w:ascii="Arial" w:eastAsia="Arial" w:hAnsi="Arial" w:cs="Arial"/>
              </w:rPr>
            </w:pPr>
            <w:proofErr w:type="spellStart"/>
            <w:r>
              <w:rPr>
                <w:rFonts w:ascii="Arial" w:eastAsia="Arial" w:hAnsi="Arial" w:cs="Arial"/>
              </w:rPr>
              <w:t>Self audit</w:t>
            </w:r>
            <w:proofErr w:type="spellEnd"/>
            <w:r>
              <w:rPr>
                <w:rFonts w:ascii="Arial" w:eastAsia="Arial" w:hAnsi="Arial" w:cs="Arial"/>
              </w:rPr>
              <w:t xml:space="preserve"> certificate as per Framework Schedule 8</w:t>
            </w:r>
          </w:p>
        </w:tc>
        <w:tc>
          <w:tcPr>
            <w:tcW w:w="1417" w:type="dxa"/>
            <w:tcBorders>
              <w:top w:val="single" w:sz="4" w:space="0" w:color="000000"/>
              <w:left w:val="single" w:sz="4" w:space="0" w:color="000000"/>
              <w:bottom w:val="single" w:sz="4" w:space="0" w:color="000000"/>
              <w:right w:val="single" w:sz="4" w:space="0" w:color="000000"/>
            </w:tcBorders>
          </w:tcPr>
          <w:p w14:paraId="75152496"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p w14:paraId="472995E3" w14:textId="77777777" w:rsidR="00414240" w:rsidRDefault="00414240">
            <w:pPr>
              <w:keepNext/>
              <w:widowControl w:val="0"/>
              <w:pBdr>
                <w:top w:val="nil"/>
                <w:left w:val="nil"/>
                <w:bottom w:val="nil"/>
                <w:right w:val="nil"/>
                <w:between w:val="nil"/>
              </w:pBdr>
              <w:spacing w:before="80" w:after="80"/>
              <w:rPr>
                <w:rFonts w:ascii="Arial" w:eastAsia="Arial" w:hAnsi="Arial" w:cs="Arial"/>
              </w:rPr>
            </w:pPr>
          </w:p>
          <w:p w14:paraId="216807FF"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Annually on anniversary of Agreement start date </w:t>
            </w:r>
          </w:p>
          <w:p w14:paraId="2F079602" w14:textId="77777777" w:rsidR="00414240" w:rsidRDefault="00414240">
            <w:pPr>
              <w:widowControl w:val="0"/>
              <w:pBdr>
                <w:top w:val="nil"/>
                <w:left w:val="nil"/>
                <w:bottom w:val="nil"/>
                <w:right w:val="nil"/>
                <w:between w:val="nil"/>
              </w:pBdr>
              <w:spacing w:after="80"/>
              <w:ind w:left="141"/>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14:paraId="5112926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654EC13F" wp14:editId="19586A93">
                  <wp:extent cx="203200" cy="203200"/>
                  <wp:effectExtent l="0" t="0" r="0" b="0"/>
                  <wp:docPr id="1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0887FA5"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6FFD5753" wp14:editId="650C07C2">
                  <wp:extent cx="203200" cy="203200"/>
                  <wp:effectExtent l="0" t="0" r="0" b="0"/>
                  <wp:docPr id="15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F95B62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19927A04" wp14:editId="235FAB72">
                  <wp:extent cx="203200" cy="203200"/>
                  <wp:effectExtent l="0" t="0" r="0" b="0"/>
                  <wp:docPr id="1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D7AE95D" w14:textId="1252DE78"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840EC8A" wp14:editId="5DBF1F7B">
                  <wp:extent cx="203200" cy="203200"/>
                  <wp:effectExtent l="0" t="0" r="0" b="0"/>
                  <wp:docPr id="15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02D68DB" w14:textId="77554357"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1D0551C0" wp14:editId="701DF103">
                  <wp:extent cx="203200" cy="203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F5768C7" w14:textId="77777777" w:rsidR="00414240" w:rsidRDefault="00414240">
            <w:pPr>
              <w:widowControl w:val="0"/>
              <w:pBdr>
                <w:top w:val="nil"/>
                <w:left w:val="nil"/>
                <w:bottom w:val="nil"/>
                <w:right w:val="nil"/>
                <w:between w:val="nil"/>
              </w:pBdr>
              <w:spacing w:before="80" w:after="80"/>
              <w:rPr>
                <w:rFonts w:ascii="Arial" w:eastAsia="Arial" w:hAnsi="Arial" w:cs="Arial"/>
              </w:rPr>
            </w:pPr>
          </w:p>
        </w:tc>
      </w:tr>
      <w:tr w:rsidR="00414240" w14:paraId="73E5B10E"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6E124506"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Management Charges </w:t>
            </w:r>
          </w:p>
        </w:tc>
        <w:tc>
          <w:tcPr>
            <w:tcW w:w="2551" w:type="dxa"/>
            <w:tcBorders>
              <w:top w:val="single" w:sz="4" w:space="0" w:color="000000"/>
              <w:left w:val="single" w:sz="4" w:space="0" w:color="000000"/>
              <w:bottom w:val="single" w:sz="4" w:space="0" w:color="000000"/>
              <w:right w:val="single" w:sz="4" w:space="0" w:color="000000"/>
            </w:tcBorders>
          </w:tcPr>
          <w:p w14:paraId="4DEEF4E9"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633660B0"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Timely payment of the Management Charge</w:t>
            </w:r>
          </w:p>
          <w:p w14:paraId="38283C2B"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991D9A" w14:textId="77777777" w:rsidR="00414240" w:rsidRDefault="00787C9F">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N/a</w:t>
            </w:r>
          </w:p>
          <w:p w14:paraId="5F1190EF" w14:textId="77777777" w:rsidR="00414240" w:rsidRDefault="00414240">
            <w:pPr>
              <w:widowControl w:val="0"/>
              <w:pBdr>
                <w:top w:val="nil"/>
                <w:left w:val="nil"/>
                <w:bottom w:val="nil"/>
                <w:right w:val="nil"/>
                <w:between w:val="nil"/>
              </w:pBdr>
              <w:spacing w:before="80" w:after="80"/>
              <w:ind w:left="141"/>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3FF2018F" w14:textId="77777777" w:rsidR="00414240" w:rsidRDefault="00787C9F">
            <w:pPr>
              <w:widowControl w:val="0"/>
              <w:pBdr>
                <w:top w:val="nil"/>
                <w:left w:val="nil"/>
                <w:bottom w:val="nil"/>
                <w:right w:val="nil"/>
                <w:between w:val="nil"/>
              </w:pBdr>
              <w:spacing w:before="80" w:after="80"/>
              <w:ind w:left="141"/>
              <w:rPr>
                <w:rFonts w:ascii="Arial" w:eastAsia="Arial" w:hAnsi="Arial" w:cs="Arial"/>
              </w:rPr>
            </w:pPr>
            <w:r>
              <w:rPr>
                <w:rFonts w:ascii="Arial" w:eastAsia="Arial" w:hAnsi="Arial" w:cs="Arial"/>
              </w:rPr>
              <w:t>Within thirty (30) days following receipt of an undisputed invoice as per Framework Schedule 5 section 5</w:t>
            </w:r>
          </w:p>
        </w:tc>
        <w:tc>
          <w:tcPr>
            <w:tcW w:w="1462" w:type="dxa"/>
            <w:tcBorders>
              <w:top w:val="single" w:sz="4" w:space="0" w:color="000000"/>
              <w:left w:val="single" w:sz="4" w:space="0" w:color="000000"/>
              <w:bottom w:val="single" w:sz="4" w:space="0" w:color="000000"/>
              <w:right w:val="single" w:sz="4" w:space="0" w:color="000000"/>
            </w:tcBorders>
            <w:vAlign w:val="center"/>
          </w:tcPr>
          <w:p w14:paraId="4232918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0827981D" wp14:editId="72034F9F">
                  <wp:extent cx="203200" cy="203200"/>
                  <wp:effectExtent l="0" t="0" r="0" b="0"/>
                  <wp:docPr id="15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905EC4B"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041284B8" wp14:editId="557A475B">
                  <wp:extent cx="203200" cy="203200"/>
                  <wp:effectExtent l="0" t="0" r="0" b="0"/>
                  <wp:docPr id="1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346C393"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F1056F5" wp14:editId="40E4DA3B">
                  <wp:extent cx="203200" cy="203200"/>
                  <wp:effectExtent l="0" t="0" r="0" b="0"/>
                  <wp:docPr id="1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CC9BF70" w14:textId="3760E7AC"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694F27C" wp14:editId="3B274BD9">
                  <wp:extent cx="203200" cy="203200"/>
                  <wp:effectExtent l="0" t="0" r="0" b="0"/>
                  <wp:docPr id="1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BA492F8" w14:textId="2634F411"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5883F269" wp14:editId="58F795DD">
                  <wp:extent cx="203200" cy="20320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2C1E7C7" w14:textId="77777777" w:rsidR="00414240" w:rsidRDefault="00414240">
            <w:pPr>
              <w:widowControl w:val="0"/>
              <w:pBdr>
                <w:top w:val="nil"/>
                <w:left w:val="nil"/>
                <w:bottom w:val="nil"/>
                <w:right w:val="nil"/>
                <w:between w:val="nil"/>
              </w:pBdr>
              <w:spacing w:before="80" w:after="80"/>
              <w:rPr>
                <w:rFonts w:ascii="Arial" w:eastAsia="Arial" w:hAnsi="Arial" w:cs="Arial"/>
              </w:rPr>
            </w:pPr>
          </w:p>
        </w:tc>
      </w:tr>
      <w:tr w:rsidR="00414240" w14:paraId="40CC6041"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4DC65847"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Framework Assurance </w:t>
            </w:r>
          </w:p>
        </w:tc>
        <w:tc>
          <w:tcPr>
            <w:tcW w:w="2551" w:type="dxa"/>
            <w:tcBorders>
              <w:top w:val="single" w:sz="4" w:space="0" w:color="000000"/>
              <w:left w:val="single" w:sz="4" w:space="0" w:color="000000"/>
              <w:bottom w:val="single" w:sz="4" w:space="0" w:color="000000"/>
              <w:right w:val="single" w:sz="4" w:space="0" w:color="000000"/>
            </w:tcBorders>
          </w:tcPr>
          <w:p w14:paraId="4D356EBD"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15E6256D"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39367521" w14:textId="77777777" w:rsidR="00414240" w:rsidRDefault="00787C9F">
            <w:pPr>
              <w:keepNext/>
              <w:widowControl w:val="0"/>
              <w:pBdr>
                <w:top w:val="nil"/>
                <w:left w:val="nil"/>
                <w:bottom w:val="nil"/>
                <w:right w:val="nil"/>
                <w:between w:val="nil"/>
              </w:pBdr>
              <w:spacing w:before="80" w:after="80"/>
              <w:ind w:left="142"/>
              <w:rPr>
                <w:rFonts w:ascii="Arial" w:eastAsia="Arial" w:hAnsi="Arial" w:cs="Arial"/>
              </w:rPr>
            </w:pPr>
            <w:r>
              <w:rPr>
                <w:rFonts w:ascii="Arial" w:eastAsia="Arial" w:hAnsi="Arial" w:cs="Arial"/>
              </w:rPr>
              <w:t xml:space="preserve">Timely submission of certification to evidence compliance to Insurance/standards &amp; Security requirements </w:t>
            </w:r>
          </w:p>
          <w:p w14:paraId="7938451B"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EC02001"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Insurance</w:t>
            </w:r>
          </w:p>
          <w:p w14:paraId="2B98C8AA"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Accreditation</w:t>
            </w:r>
          </w:p>
          <w:p w14:paraId="1F56F6CE"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Certification</w:t>
            </w:r>
          </w:p>
          <w:p w14:paraId="6646F687"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4B6C9400" w14:textId="77777777" w:rsidR="00414240" w:rsidRDefault="00414240">
            <w:pPr>
              <w:widowControl w:val="0"/>
              <w:pBdr>
                <w:top w:val="nil"/>
                <w:left w:val="nil"/>
                <w:bottom w:val="nil"/>
                <w:right w:val="nil"/>
                <w:between w:val="nil"/>
              </w:pBdr>
              <w:rPr>
                <w:rFonts w:ascii="Arial" w:eastAsia="Arial" w:hAnsi="Arial" w:cs="Arial"/>
              </w:rPr>
            </w:pPr>
          </w:p>
          <w:p w14:paraId="1F76A09D"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As per Framework Schedule 4 section 3.8</w:t>
            </w:r>
          </w:p>
        </w:tc>
        <w:tc>
          <w:tcPr>
            <w:tcW w:w="1462" w:type="dxa"/>
            <w:tcBorders>
              <w:top w:val="single" w:sz="4" w:space="0" w:color="000000"/>
              <w:left w:val="single" w:sz="4" w:space="0" w:color="000000"/>
              <w:bottom w:val="single" w:sz="4" w:space="0" w:color="000000"/>
              <w:right w:val="single" w:sz="4" w:space="0" w:color="000000"/>
            </w:tcBorders>
            <w:vAlign w:val="center"/>
          </w:tcPr>
          <w:p w14:paraId="24FC6DFF"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6D95A4A3" wp14:editId="20D9F522">
                  <wp:extent cx="203200" cy="203200"/>
                  <wp:effectExtent l="0" t="0" r="0" b="0"/>
                  <wp:docPr id="16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31483A4"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649DCCD3" wp14:editId="14C7B2B1">
                  <wp:extent cx="203200" cy="203200"/>
                  <wp:effectExtent l="0" t="0" r="0" b="0"/>
                  <wp:docPr id="1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50AE04D"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C1EE354" wp14:editId="5803DBBD">
                  <wp:extent cx="203200" cy="203200"/>
                  <wp:effectExtent l="0" t="0" r="0" b="0"/>
                  <wp:docPr id="16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D4BCCE1" w14:textId="6CE41883"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4 </w:t>
            </w:r>
            <w:r>
              <w:rPr>
                <w:noProof/>
              </w:rPr>
              <w:drawing>
                <wp:inline distT="0" distB="0" distL="0" distR="0" wp14:anchorId="2711D3C7" wp14:editId="71F64544">
                  <wp:extent cx="203200" cy="203200"/>
                  <wp:effectExtent l="0" t="0" r="0" b="0"/>
                  <wp:docPr id="16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58D4F15" w14:textId="3975670F" w:rsidR="006F6AA3" w:rsidRDefault="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7AE2FCA9" wp14:editId="7103CA51">
                  <wp:extent cx="203200" cy="2032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FFFBB96" w14:textId="77777777" w:rsidR="00414240" w:rsidRDefault="00414240">
            <w:pPr>
              <w:widowControl w:val="0"/>
              <w:pBdr>
                <w:top w:val="nil"/>
                <w:left w:val="nil"/>
                <w:bottom w:val="nil"/>
                <w:right w:val="nil"/>
                <w:between w:val="nil"/>
              </w:pBdr>
              <w:rPr>
                <w:rFonts w:ascii="Arial" w:eastAsia="Arial" w:hAnsi="Arial" w:cs="Arial"/>
              </w:rPr>
            </w:pPr>
          </w:p>
        </w:tc>
      </w:tr>
      <w:tr w:rsidR="00414240" w14:paraId="6F89839A"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7B9573B4" w14:textId="77777777" w:rsidR="00414240" w:rsidRDefault="00787C9F">
            <w:pPr>
              <w:widowControl w:val="0"/>
              <w:pBdr>
                <w:top w:val="nil"/>
                <w:left w:val="nil"/>
                <w:bottom w:val="nil"/>
                <w:right w:val="nil"/>
                <w:between w:val="nil"/>
              </w:pBdr>
              <w:spacing w:before="80" w:after="80"/>
              <w:rPr>
                <w:rFonts w:ascii="Arial" w:eastAsia="Arial" w:hAnsi="Arial" w:cs="Arial"/>
                <w:highlight w:val="yellow"/>
              </w:rPr>
            </w:pPr>
            <w:r>
              <w:rPr>
                <w:rFonts w:ascii="Arial" w:eastAsia="Arial" w:hAnsi="Arial" w:cs="Arial"/>
              </w:rPr>
              <w:t xml:space="preserve">Further Competition &amp; Dashboard </w:t>
            </w:r>
            <w:r>
              <w:rPr>
                <w:rFonts w:ascii="Arial" w:eastAsia="Arial" w:hAnsi="Arial" w:cs="Arial"/>
              </w:rPr>
              <w:lastRenderedPageBreak/>
              <w:t xml:space="preserve">requirements </w:t>
            </w:r>
          </w:p>
        </w:tc>
        <w:tc>
          <w:tcPr>
            <w:tcW w:w="2551" w:type="dxa"/>
            <w:tcBorders>
              <w:top w:val="single" w:sz="4" w:space="0" w:color="000000"/>
              <w:left w:val="single" w:sz="4" w:space="0" w:color="000000"/>
              <w:bottom w:val="single" w:sz="4" w:space="0" w:color="000000"/>
              <w:right w:val="single" w:sz="4" w:space="0" w:color="000000"/>
            </w:tcBorders>
          </w:tcPr>
          <w:p w14:paraId="2F84B548" w14:textId="77777777" w:rsidR="00414240" w:rsidRDefault="00414240">
            <w:pPr>
              <w:widowControl w:val="0"/>
              <w:pBdr>
                <w:top w:val="nil"/>
                <w:left w:val="nil"/>
                <w:bottom w:val="nil"/>
                <w:right w:val="nil"/>
                <w:between w:val="nil"/>
              </w:pBdr>
              <w:rPr>
                <w:rFonts w:ascii="Arial" w:eastAsia="Arial" w:hAnsi="Arial" w:cs="Arial"/>
              </w:rPr>
            </w:pPr>
          </w:p>
          <w:p w14:paraId="112B4C6C"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 xml:space="preserve">Provision of information on further competition </w:t>
            </w:r>
            <w:r>
              <w:rPr>
                <w:rFonts w:ascii="Arial" w:eastAsia="Arial" w:hAnsi="Arial" w:cs="Arial"/>
              </w:rPr>
              <w:lastRenderedPageBreak/>
              <w:t>participation in the agreed format and frequency.</w:t>
            </w:r>
          </w:p>
          <w:p w14:paraId="451F86BA" w14:textId="77777777" w:rsidR="00414240" w:rsidRDefault="00414240">
            <w:pPr>
              <w:widowControl w:val="0"/>
              <w:pBdr>
                <w:top w:val="nil"/>
                <w:left w:val="nil"/>
                <w:bottom w:val="nil"/>
                <w:right w:val="nil"/>
                <w:between w:val="nil"/>
              </w:pBdr>
              <w:rPr>
                <w:rFonts w:ascii="Arial" w:eastAsia="Arial" w:hAnsi="Arial" w:cs="Arial"/>
              </w:rPr>
            </w:pPr>
          </w:p>
          <w:p w14:paraId="65806FF3"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Provision of information on awarded Call-Off Contracts in the agreed format and frequency.</w:t>
            </w:r>
          </w:p>
          <w:p w14:paraId="0B53AA14" w14:textId="77777777" w:rsidR="00414240" w:rsidRDefault="00414240">
            <w:pPr>
              <w:widowControl w:val="0"/>
              <w:pBdr>
                <w:top w:val="nil"/>
                <w:left w:val="nil"/>
                <w:bottom w:val="nil"/>
                <w:right w:val="nil"/>
                <w:between w:val="nil"/>
              </w:pBdr>
              <w:rPr>
                <w:rFonts w:ascii="Arial" w:eastAsia="Arial" w:hAnsi="Arial" w:cs="Arial"/>
              </w:rPr>
            </w:pPr>
          </w:p>
          <w:p w14:paraId="23B06ADA"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 xml:space="preserve">Provision of Dashboard information in the agreed format and frequency </w:t>
            </w:r>
          </w:p>
          <w:p w14:paraId="41FFFFC4"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114988C" w14:textId="43361945" w:rsidR="00414240" w:rsidRDefault="006F6AA3" w:rsidP="00047C3F">
            <w:pPr>
              <w:widowControl w:val="0"/>
              <w:pBdr>
                <w:top w:val="nil"/>
                <w:left w:val="nil"/>
                <w:bottom w:val="nil"/>
                <w:right w:val="nil"/>
                <w:between w:val="nil"/>
              </w:pBdr>
              <w:rPr>
                <w:rFonts w:ascii="Arial" w:eastAsia="Arial" w:hAnsi="Arial" w:cs="Arial"/>
              </w:rPr>
            </w:pPr>
            <w:r>
              <w:rPr>
                <w:rFonts w:ascii="Arial" w:hAnsi="Arial" w:cs="Arial"/>
                <w:color w:val="222222"/>
                <w:shd w:val="clear" w:color="auto" w:fill="FFFFFF"/>
              </w:rPr>
              <w:lastRenderedPageBreak/>
              <w:t xml:space="preserve">Dashboard template for lots 1-4 as </w:t>
            </w:r>
            <w:r>
              <w:rPr>
                <w:rFonts w:ascii="Arial" w:hAnsi="Arial" w:cs="Arial"/>
                <w:color w:val="222222"/>
                <w:shd w:val="clear" w:color="auto" w:fill="FFFFFF"/>
              </w:rPr>
              <w:lastRenderedPageBreak/>
              <w:t>per Annex 1 and Dashboard template for lot 5 as per Annex 2</w:t>
            </w:r>
          </w:p>
        </w:tc>
        <w:tc>
          <w:tcPr>
            <w:tcW w:w="1417" w:type="dxa"/>
            <w:tcBorders>
              <w:top w:val="single" w:sz="4" w:space="0" w:color="000000"/>
              <w:left w:val="single" w:sz="4" w:space="0" w:color="000000"/>
              <w:bottom w:val="single" w:sz="4" w:space="0" w:color="000000"/>
              <w:right w:val="single" w:sz="4" w:space="0" w:color="000000"/>
            </w:tcBorders>
          </w:tcPr>
          <w:p w14:paraId="1E2D031C" w14:textId="77777777" w:rsidR="00414240" w:rsidRDefault="00414240">
            <w:pPr>
              <w:widowControl w:val="0"/>
              <w:pBdr>
                <w:top w:val="nil"/>
                <w:left w:val="nil"/>
                <w:bottom w:val="nil"/>
                <w:right w:val="nil"/>
                <w:between w:val="nil"/>
              </w:pBdr>
              <w:rPr>
                <w:rFonts w:ascii="Arial" w:eastAsia="Arial" w:hAnsi="Arial" w:cs="Arial"/>
              </w:rPr>
            </w:pPr>
          </w:p>
          <w:p w14:paraId="3FDD1141" w14:textId="77777777" w:rsidR="00414240" w:rsidRDefault="00414240">
            <w:pPr>
              <w:widowControl w:val="0"/>
              <w:pBdr>
                <w:top w:val="nil"/>
                <w:left w:val="nil"/>
                <w:bottom w:val="nil"/>
                <w:right w:val="nil"/>
                <w:between w:val="nil"/>
              </w:pBdr>
              <w:rPr>
                <w:rFonts w:ascii="Arial" w:eastAsia="Arial" w:hAnsi="Arial" w:cs="Arial"/>
              </w:rPr>
            </w:pPr>
          </w:p>
          <w:p w14:paraId="1EEBBA6A" w14:textId="77777777" w:rsidR="00414240" w:rsidRDefault="00414240">
            <w:pPr>
              <w:widowControl w:val="0"/>
              <w:pBdr>
                <w:top w:val="nil"/>
                <w:left w:val="nil"/>
                <w:bottom w:val="nil"/>
                <w:right w:val="nil"/>
                <w:between w:val="nil"/>
              </w:pBdr>
              <w:rPr>
                <w:rFonts w:ascii="Arial" w:eastAsia="Arial" w:hAnsi="Arial" w:cs="Arial"/>
              </w:rPr>
            </w:pPr>
          </w:p>
          <w:p w14:paraId="545B3924" w14:textId="77777777" w:rsidR="00414240" w:rsidRDefault="00414240">
            <w:pPr>
              <w:widowControl w:val="0"/>
              <w:pBdr>
                <w:top w:val="nil"/>
                <w:left w:val="nil"/>
                <w:bottom w:val="nil"/>
                <w:right w:val="nil"/>
                <w:between w:val="nil"/>
              </w:pBdr>
              <w:rPr>
                <w:rFonts w:ascii="Arial" w:eastAsia="Arial" w:hAnsi="Arial" w:cs="Arial"/>
              </w:rPr>
            </w:pPr>
          </w:p>
          <w:p w14:paraId="4AAC029A" w14:textId="77777777" w:rsidR="00414240" w:rsidRDefault="00414240">
            <w:pPr>
              <w:widowControl w:val="0"/>
              <w:pBdr>
                <w:top w:val="nil"/>
                <w:left w:val="nil"/>
                <w:bottom w:val="nil"/>
                <w:right w:val="nil"/>
                <w:between w:val="nil"/>
              </w:pBdr>
              <w:rPr>
                <w:rFonts w:ascii="Arial" w:eastAsia="Arial" w:hAnsi="Arial" w:cs="Arial"/>
              </w:rPr>
            </w:pPr>
          </w:p>
          <w:p w14:paraId="43ECB6B2" w14:textId="77777777" w:rsidR="00414240" w:rsidRDefault="00414240">
            <w:pPr>
              <w:widowControl w:val="0"/>
              <w:pBdr>
                <w:top w:val="nil"/>
                <w:left w:val="nil"/>
                <w:bottom w:val="nil"/>
                <w:right w:val="nil"/>
                <w:between w:val="nil"/>
              </w:pBdr>
              <w:rPr>
                <w:rFonts w:ascii="Arial" w:eastAsia="Arial" w:hAnsi="Arial" w:cs="Arial"/>
              </w:rPr>
            </w:pPr>
          </w:p>
          <w:p w14:paraId="6B29A1F4" w14:textId="77777777" w:rsidR="00414240" w:rsidRDefault="00414240">
            <w:pPr>
              <w:widowControl w:val="0"/>
              <w:pBdr>
                <w:top w:val="nil"/>
                <w:left w:val="nil"/>
                <w:bottom w:val="nil"/>
                <w:right w:val="nil"/>
                <w:between w:val="nil"/>
              </w:pBdr>
              <w:rPr>
                <w:rFonts w:ascii="Arial" w:eastAsia="Arial" w:hAnsi="Arial" w:cs="Arial"/>
              </w:rPr>
            </w:pPr>
          </w:p>
          <w:p w14:paraId="3736FEEF" w14:textId="77777777" w:rsidR="00414240" w:rsidRDefault="00414240">
            <w:pPr>
              <w:widowControl w:val="0"/>
              <w:pBdr>
                <w:top w:val="nil"/>
                <w:left w:val="nil"/>
                <w:bottom w:val="nil"/>
                <w:right w:val="nil"/>
                <w:between w:val="nil"/>
              </w:pBdr>
              <w:rPr>
                <w:rFonts w:ascii="Arial" w:eastAsia="Arial" w:hAnsi="Arial" w:cs="Arial"/>
              </w:rPr>
            </w:pPr>
          </w:p>
          <w:p w14:paraId="53DEE2E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tc>
        <w:tc>
          <w:tcPr>
            <w:tcW w:w="1462" w:type="dxa"/>
            <w:tcBorders>
              <w:top w:val="single" w:sz="4" w:space="0" w:color="000000"/>
              <w:left w:val="single" w:sz="4" w:space="0" w:color="000000"/>
              <w:bottom w:val="single" w:sz="4" w:space="0" w:color="000000"/>
              <w:right w:val="single" w:sz="4" w:space="0" w:color="000000"/>
            </w:tcBorders>
            <w:vAlign w:val="center"/>
          </w:tcPr>
          <w:p w14:paraId="28B2933A"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lastRenderedPageBreak/>
              <w:t xml:space="preserve">Lot 1 </w:t>
            </w:r>
            <w:r>
              <w:rPr>
                <w:noProof/>
              </w:rPr>
              <w:drawing>
                <wp:inline distT="0" distB="0" distL="0" distR="0" wp14:anchorId="0FCC48F4" wp14:editId="2B1766DF">
                  <wp:extent cx="203200" cy="203200"/>
                  <wp:effectExtent l="0" t="0" r="0" b="0"/>
                  <wp:docPr id="16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5C6E87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3BD255A0" wp14:editId="0F2BA216">
                  <wp:extent cx="203200" cy="203200"/>
                  <wp:effectExtent l="0" t="0" r="0" b="0"/>
                  <wp:docPr id="1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AD1199D"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lastRenderedPageBreak/>
              <w:t xml:space="preserve">Lot 3 </w:t>
            </w:r>
            <w:r>
              <w:rPr>
                <w:noProof/>
              </w:rPr>
              <w:drawing>
                <wp:inline distT="0" distB="0" distL="0" distR="0" wp14:anchorId="17F5D9FF" wp14:editId="4DB8C15C">
                  <wp:extent cx="203200" cy="203200"/>
                  <wp:effectExtent l="0" t="0" r="0" b="0"/>
                  <wp:docPr id="16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EAB71C3"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43DEC954" wp14:editId="54DE6C5D">
                  <wp:extent cx="203200" cy="203200"/>
                  <wp:effectExtent l="0" t="0" r="0" b="0"/>
                  <wp:docPr id="1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23836E9"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619F3FCA" wp14:editId="355F1C99">
                  <wp:extent cx="203200" cy="2032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2D06397" w14:textId="67FF77FF" w:rsidR="006F6AA3" w:rsidRDefault="006F6AA3">
            <w:pPr>
              <w:widowControl w:val="0"/>
              <w:pBdr>
                <w:top w:val="nil"/>
                <w:left w:val="nil"/>
                <w:bottom w:val="nil"/>
                <w:right w:val="nil"/>
                <w:between w:val="nil"/>
              </w:pBdr>
              <w:spacing w:before="80" w:after="80"/>
              <w:rPr>
                <w:rFonts w:ascii="Arial" w:eastAsia="Arial" w:hAnsi="Arial" w:cs="Arial"/>
                <w:sz w:val="24"/>
                <w:szCs w:val="24"/>
              </w:rPr>
            </w:pPr>
          </w:p>
        </w:tc>
      </w:tr>
      <w:tr w:rsidR="00414240" w14:paraId="5AF72183"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098A8C6E"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lastRenderedPageBreak/>
              <w:t>Compliance to CSR values</w:t>
            </w:r>
          </w:p>
        </w:tc>
        <w:tc>
          <w:tcPr>
            <w:tcW w:w="2551" w:type="dxa"/>
            <w:tcBorders>
              <w:top w:val="single" w:sz="4" w:space="0" w:color="000000"/>
              <w:left w:val="single" w:sz="4" w:space="0" w:color="000000"/>
              <w:bottom w:val="single" w:sz="4" w:space="0" w:color="000000"/>
              <w:right w:val="single" w:sz="4" w:space="0" w:color="000000"/>
            </w:tcBorders>
          </w:tcPr>
          <w:p w14:paraId="233A1794"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06A7446A"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p w14:paraId="59F83A19"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The Supplier shall complete annual Corporate Social Responsibility (CSR) assessments, highlighting risks and recommendations for improvements.</w:t>
            </w:r>
          </w:p>
          <w:p w14:paraId="22D9B5A3" w14:textId="77777777" w:rsidR="00414240" w:rsidRDefault="00414240">
            <w:pPr>
              <w:widowControl w:val="0"/>
              <w:pBdr>
                <w:top w:val="nil"/>
                <w:left w:val="nil"/>
                <w:bottom w:val="nil"/>
                <w:right w:val="nil"/>
                <w:between w:val="nil"/>
              </w:pBdr>
              <w:spacing w:before="80" w:after="80"/>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519FEEA"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Social Value Policy</w:t>
            </w:r>
          </w:p>
          <w:p w14:paraId="2155228A" w14:textId="77777777" w:rsidR="00414240" w:rsidRDefault="00414240">
            <w:pPr>
              <w:keepNext/>
              <w:widowControl w:val="0"/>
              <w:pBdr>
                <w:top w:val="nil"/>
                <w:left w:val="nil"/>
                <w:bottom w:val="nil"/>
                <w:right w:val="nil"/>
                <w:between w:val="nil"/>
              </w:pBdr>
              <w:spacing w:before="80" w:after="80"/>
              <w:ind w:left="142"/>
              <w:rPr>
                <w:rFonts w:ascii="Arial" w:eastAsia="Arial" w:hAnsi="Arial" w:cs="Arial"/>
              </w:rPr>
            </w:pPr>
          </w:p>
        </w:tc>
        <w:tc>
          <w:tcPr>
            <w:tcW w:w="1417" w:type="dxa"/>
            <w:tcBorders>
              <w:top w:val="single" w:sz="4" w:space="0" w:color="000000"/>
              <w:left w:val="single" w:sz="4" w:space="0" w:color="000000"/>
              <w:bottom w:val="single" w:sz="4" w:space="0" w:color="000000"/>
              <w:right w:val="single" w:sz="4" w:space="0" w:color="000000"/>
            </w:tcBorders>
          </w:tcPr>
          <w:p w14:paraId="5A1ABF34" w14:textId="77777777" w:rsidR="00414240" w:rsidRDefault="00414240">
            <w:pPr>
              <w:widowControl w:val="0"/>
              <w:pBdr>
                <w:top w:val="nil"/>
                <w:left w:val="nil"/>
                <w:bottom w:val="nil"/>
                <w:right w:val="nil"/>
                <w:between w:val="nil"/>
              </w:pBdr>
              <w:spacing w:before="80" w:after="80"/>
              <w:rPr>
                <w:rFonts w:ascii="Arial" w:eastAsia="Arial" w:hAnsi="Arial" w:cs="Arial"/>
              </w:rPr>
            </w:pPr>
          </w:p>
          <w:p w14:paraId="4F261B23" w14:textId="77777777" w:rsidR="00414240" w:rsidRDefault="00414240">
            <w:pPr>
              <w:widowControl w:val="0"/>
              <w:pBdr>
                <w:top w:val="nil"/>
                <w:left w:val="nil"/>
                <w:bottom w:val="nil"/>
                <w:right w:val="nil"/>
                <w:between w:val="nil"/>
              </w:pBdr>
              <w:spacing w:before="80" w:after="80"/>
              <w:rPr>
                <w:rFonts w:ascii="Arial" w:eastAsia="Arial" w:hAnsi="Arial" w:cs="Arial"/>
              </w:rPr>
            </w:pPr>
          </w:p>
          <w:p w14:paraId="03EBE11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14:paraId="0B27CF62"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73F0053F" wp14:editId="5A063D71">
                  <wp:extent cx="203200" cy="203200"/>
                  <wp:effectExtent l="0" t="0" r="0" b="0"/>
                  <wp:docPr id="1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14B9EC6"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3C70061F" wp14:editId="30A7A695">
                  <wp:extent cx="203200" cy="203200"/>
                  <wp:effectExtent l="0" t="0" r="0" b="0"/>
                  <wp:docPr id="1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1D16BFF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2AAE7B5F" wp14:editId="02BFABCE">
                  <wp:extent cx="203200" cy="203200"/>
                  <wp:effectExtent l="0" t="0" r="0" b="0"/>
                  <wp:docPr id="1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869FA24"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0E2EAB78" wp14:editId="2F74E5D3">
                  <wp:extent cx="203200" cy="203200"/>
                  <wp:effectExtent l="0" t="0" r="0" b="0"/>
                  <wp:docPr id="1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4AE1617"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4592301F" wp14:editId="144CDED8">
                  <wp:extent cx="203200" cy="2032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0CCE21E6" w14:textId="1CD8E8DC" w:rsidR="006F6AA3" w:rsidRDefault="006F6AA3">
            <w:pPr>
              <w:widowControl w:val="0"/>
              <w:pBdr>
                <w:top w:val="nil"/>
                <w:left w:val="nil"/>
                <w:bottom w:val="nil"/>
                <w:right w:val="nil"/>
                <w:between w:val="nil"/>
              </w:pBdr>
              <w:spacing w:before="80" w:after="80"/>
              <w:rPr>
                <w:rFonts w:ascii="Arial" w:eastAsia="Arial" w:hAnsi="Arial" w:cs="Arial"/>
              </w:rPr>
            </w:pPr>
          </w:p>
        </w:tc>
      </w:tr>
      <w:tr w:rsidR="00414240" w14:paraId="2F372339"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55CD77D4"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Compliance to Modern Slavery </w:t>
            </w:r>
          </w:p>
        </w:tc>
        <w:tc>
          <w:tcPr>
            <w:tcW w:w="2551" w:type="dxa"/>
            <w:tcBorders>
              <w:top w:val="single" w:sz="4" w:space="0" w:color="000000"/>
              <w:left w:val="single" w:sz="4" w:space="0" w:color="000000"/>
              <w:bottom w:val="single" w:sz="4" w:space="0" w:color="000000"/>
              <w:right w:val="single" w:sz="4" w:space="0" w:color="000000"/>
            </w:tcBorders>
          </w:tcPr>
          <w:p w14:paraId="467AE6AB"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Evidence of compliance to Modern Slavery, Child Labour and Inhuman Treatment</w:t>
            </w:r>
          </w:p>
        </w:tc>
        <w:tc>
          <w:tcPr>
            <w:tcW w:w="1418" w:type="dxa"/>
            <w:tcBorders>
              <w:top w:val="single" w:sz="4" w:space="0" w:color="000000"/>
              <w:left w:val="single" w:sz="4" w:space="0" w:color="000000"/>
              <w:bottom w:val="single" w:sz="4" w:space="0" w:color="000000"/>
              <w:right w:val="single" w:sz="4" w:space="0" w:color="000000"/>
            </w:tcBorders>
            <w:vAlign w:val="center"/>
          </w:tcPr>
          <w:p w14:paraId="73F0021D"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Annual Slavery and human trafficking report as per Joint Schedule 5 3.1.8</w:t>
            </w:r>
          </w:p>
        </w:tc>
        <w:tc>
          <w:tcPr>
            <w:tcW w:w="1417" w:type="dxa"/>
            <w:tcBorders>
              <w:top w:val="single" w:sz="4" w:space="0" w:color="000000"/>
              <w:left w:val="single" w:sz="4" w:space="0" w:color="000000"/>
              <w:bottom w:val="single" w:sz="4" w:space="0" w:color="000000"/>
              <w:right w:val="single" w:sz="4" w:space="0" w:color="000000"/>
            </w:tcBorders>
          </w:tcPr>
          <w:p w14:paraId="598E042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Annually</w:t>
            </w:r>
          </w:p>
        </w:tc>
        <w:tc>
          <w:tcPr>
            <w:tcW w:w="1462" w:type="dxa"/>
            <w:tcBorders>
              <w:top w:val="single" w:sz="4" w:space="0" w:color="000000"/>
              <w:left w:val="single" w:sz="4" w:space="0" w:color="000000"/>
              <w:bottom w:val="single" w:sz="4" w:space="0" w:color="000000"/>
              <w:right w:val="single" w:sz="4" w:space="0" w:color="000000"/>
            </w:tcBorders>
            <w:vAlign w:val="center"/>
          </w:tcPr>
          <w:p w14:paraId="3841278D" w14:textId="77777777" w:rsidR="00414240" w:rsidRDefault="00787C9F">
            <w:pPr>
              <w:widowControl w:val="0"/>
              <w:pBdr>
                <w:top w:val="nil"/>
                <w:left w:val="nil"/>
                <w:bottom w:val="nil"/>
                <w:right w:val="nil"/>
                <w:between w:val="nil"/>
              </w:pBdr>
              <w:spacing w:before="80"/>
              <w:rPr>
                <w:rFonts w:ascii="Arial" w:eastAsia="Arial" w:hAnsi="Arial" w:cs="Arial"/>
              </w:rPr>
            </w:pPr>
            <w:bookmarkStart w:id="4" w:name="_heading=h.4d34og8" w:colFirst="0" w:colLast="0"/>
            <w:bookmarkEnd w:id="4"/>
            <w:r>
              <w:rPr>
                <w:rFonts w:ascii="Arial" w:eastAsia="Arial" w:hAnsi="Arial" w:cs="Arial"/>
              </w:rPr>
              <w:t xml:space="preserve">Lot 1 </w:t>
            </w:r>
            <w:r>
              <w:rPr>
                <w:noProof/>
              </w:rPr>
              <w:drawing>
                <wp:inline distT="0" distB="0" distL="0" distR="0" wp14:anchorId="32A1A838" wp14:editId="7EBF3AA4">
                  <wp:extent cx="203200" cy="203200"/>
                  <wp:effectExtent l="0" t="0" r="0" b="0"/>
                  <wp:docPr id="1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36972397"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09399EAA" wp14:editId="0288A79E">
                  <wp:extent cx="203200" cy="203200"/>
                  <wp:effectExtent l="0" t="0" r="0" b="0"/>
                  <wp:docPr id="1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F3D29C0"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4F93134B" wp14:editId="5857F53F">
                  <wp:extent cx="203200" cy="203200"/>
                  <wp:effectExtent l="0" t="0" r="0" b="0"/>
                  <wp:docPr id="1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7F78B803"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416849ED" wp14:editId="58E8F358">
                  <wp:extent cx="203200" cy="203200"/>
                  <wp:effectExtent l="0" t="0" r="0" b="0"/>
                  <wp:docPr id="1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5383B1B"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694069ED" wp14:editId="672C913F">
                  <wp:extent cx="203200" cy="2032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877990B" w14:textId="640DC62E" w:rsidR="006F6AA3" w:rsidRDefault="006F6AA3">
            <w:pPr>
              <w:widowControl w:val="0"/>
              <w:pBdr>
                <w:top w:val="nil"/>
                <w:left w:val="nil"/>
                <w:bottom w:val="nil"/>
                <w:right w:val="nil"/>
                <w:between w:val="nil"/>
              </w:pBdr>
              <w:spacing w:before="80" w:after="80"/>
              <w:rPr>
                <w:rFonts w:ascii="Arial" w:eastAsia="Arial" w:hAnsi="Arial" w:cs="Arial"/>
              </w:rPr>
            </w:pPr>
          </w:p>
        </w:tc>
      </w:tr>
      <w:tr w:rsidR="00414240" w14:paraId="474D9AAC" w14:textId="77777777">
        <w:trPr>
          <w:trHeight w:val="787"/>
          <w:jc w:val="center"/>
        </w:trPr>
        <w:tc>
          <w:tcPr>
            <w:tcW w:w="1668" w:type="dxa"/>
            <w:tcBorders>
              <w:top w:val="single" w:sz="4" w:space="0" w:color="000000"/>
              <w:left w:val="single" w:sz="4" w:space="0" w:color="000000"/>
              <w:bottom w:val="single" w:sz="4" w:space="0" w:color="000000"/>
              <w:right w:val="single" w:sz="4" w:space="0" w:color="000000"/>
            </w:tcBorders>
            <w:vAlign w:val="center"/>
          </w:tcPr>
          <w:p w14:paraId="714F0E95"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Framework Contract Growth and marketing</w:t>
            </w:r>
          </w:p>
        </w:tc>
        <w:tc>
          <w:tcPr>
            <w:tcW w:w="2551" w:type="dxa"/>
            <w:tcBorders>
              <w:top w:val="single" w:sz="4" w:space="0" w:color="000000"/>
              <w:left w:val="single" w:sz="4" w:space="0" w:color="000000"/>
              <w:bottom w:val="single" w:sz="4" w:space="0" w:color="000000"/>
              <w:right w:val="single" w:sz="4" w:space="0" w:color="000000"/>
            </w:tcBorders>
          </w:tcPr>
          <w:p w14:paraId="00EF51E9"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Marketing &amp; Communication Overview</w:t>
            </w:r>
          </w:p>
          <w:p w14:paraId="7825FAC8" w14:textId="77777777" w:rsidR="00414240" w:rsidRDefault="00414240">
            <w:pPr>
              <w:widowControl w:val="0"/>
              <w:pBdr>
                <w:top w:val="nil"/>
                <w:left w:val="nil"/>
                <w:bottom w:val="nil"/>
                <w:right w:val="nil"/>
                <w:between w:val="nil"/>
              </w:pBdr>
              <w:rPr>
                <w:rFonts w:ascii="Arial" w:eastAsia="Arial" w:hAnsi="Arial" w:cs="Arial"/>
              </w:rPr>
            </w:pPr>
          </w:p>
          <w:p w14:paraId="6412D220"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Provide details of Buyer opportunities and interest/engagement in the agreed format and frequency.</w:t>
            </w:r>
          </w:p>
          <w:p w14:paraId="41140A97" w14:textId="77777777" w:rsidR="00414240" w:rsidRDefault="00414240">
            <w:pPr>
              <w:widowControl w:val="0"/>
              <w:pBdr>
                <w:top w:val="nil"/>
                <w:left w:val="nil"/>
                <w:bottom w:val="nil"/>
                <w:right w:val="nil"/>
                <w:between w:val="nil"/>
              </w:pBdr>
              <w:rPr>
                <w:rFonts w:ascii="Arial" w:eastAsia="Arial" w:hAnsi="Arial" w:cs="Arial"/>
              </w:rPr>
            </w:pPr>
          </w:p>
          <w:p w14:paraId="38E70B16" w14:textId="77777777" w:rsidR="00414240" w:rsidRDefault="00787C9F">
            <w:pPr>
              <w:keepNext/>
              <w:widowControl w:val="0"/>
              <w:pBdr>
                <w:top w:val="nil"/>
                <w:left w:val="nil"/>
                <w:bottom w:val="nil"/>
                <w:right w:val="nil"/>
                <w:between w:val="nil"/>
              </w:pBdr>
              <w:spacing w:before="80" w:after="80"/>
              <w:rPr>
                <w:rFonts w:ascii="Arial" w:eastAsia="Arial" w:hAnsi="Arial" w:cs="Arial"/>
              </w:rPr>
            </w:pPr>
            <w:r>
              <w:rPr>
                <w:rFonts w:ascii="Arial" w:eastAsia="Arial" w:hAnsi="Arial" w:cs="Arial"/>
              </w:rPr>
              <w:t>Evidence of following such Buyer opportunities through to use of the Framework Contract in the agreed format and frequency.</w:t>
            </w:r>
          </w:p>
          <w:p w14:paraId="12A128BB" w14:textId="77777777" w:rsidR="00414240" w:rsidRDefault="00414240">
            <w:pPr>
              <w:widowControl w:val="0"/>
              <w:pBdr>
                <w:top w:val="nil"/>
                <w:left w:val="nil"/>
                <w:bottom w:val="nil"/>
                <w:right w:val="nil"/>
                <w:between w:val="nil"/>
              </w:pBdr>
              <w:rPr>
                <w:rFonts w:ascii="Arial" w:eastAsia="Arial" w:hAnsi="Arial" w:cs="Arial"/>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8C43B6C" w14:textId="24C08B16" w:rsidR="00414240" w:rsidRDefault="006F6AA3" w:rsidP="00047C3F">
            <w:pPr>
              <w:widowControl w:val="0"/>
              <w:pBdr>
                <w:top w:val="nil"/>
                <w:left w:val="nil"/>
                <w:bottom w:val="nil"/>
                <w:right w:val="nil"/>
                <w:between w:val="nil"/>
              </w:pBdr>
              <w:rPr>
                <w:rFonts w:ascii="Arial" w:eastAsia="Arial" w:hAnsi="Arial" w:cs="Arial"/>
              </w:rPr>
            </w:pPr>
            <w:r>
              <w:rPr>
                <w:rFonts w:ascii="Arial" w:hAnsi="Arial" w:cs="Arial"/>
                <w:color w:val="222222"/>
                <w:shd w:val="clear" w:color="auto" w:fill="FFFFFF"/>
              </w:rPr>
              <w:t>Dashboard template for lots 1-4 as per Annex 1 and Dashboard template for lot 5 as per Annex 2</w:t>
            </w:r>
          </w:p>
        </w:tc>
        <w:tc>
          <w:tcPr>
            <w:tcW w:w="1417" w:type="dxa"/>
            <w:tcBorders>
              <w:top w:val="single" w:sz="4" w:space="0" w:color="000000"/>
              <w:left w:val="single" w:sz="4" w:space="0" w:color="000000"/>
              <w:bottom w:val="single" w:sz="4" w:space="0" w:color="000000"/>
              <w:right w:val="single" w:sz="4" w:space="0" w:color="000000"/>
            </w:tcBorders>
          </w:tcPr>
          <w:p w14:paraId="1B28A64F" w14:textId="77777777" w:rsidR="00414240" w:rsidRDefault="00787C9F">
            <w:pPr>
              <w:widowControl w:val="0"/>
              <w:pBdr>
                <w:top w:val="nil"/>
                <w:left w:val="nil"/>
                <w:bottom w:val="nil"/>
                <w:right w:val="nil"/>
                <w:between w:val="nil"/>
              </w:pBdr>
              <w:rPr>
                <w:rFonts w:ascii="Arial" w:eastAsia="Arial" w:hAnsi="Arial" w:cs="Arial"/>
              </w:rPr>
            </w:pPr>
            <w:r>
              <w:rPr>
                <w:rFonts w:ascii="Arial" w:eastAsia="Arial" w:hAnsi="Arial" w:cs="Arial"/>
              </w:rPr>
              <w:t>Quarterly on or before 15</w:t>
            </w:r>
            <w:r>
              <w:rPr>
                <w:rFonts w:ascii="Arial" w:eastAsia="Arial" w:hAnsi="Arial" w:cs="Arial"/>
                <w:vertAlign w:val="superscript"/>
              </w:rPr>
              <w:t>th</w:t>
            </w:r>
            <w:r>
              <w:rPr>
                <w:rFonts w:ascii="Arial" w:eastAsia="Arial" w:hAnsi="Arial" w:cs="Arial"/>
              </w:rPr>
              <w:t xml:space="preserve"> of start of Q1, Q2, Q3 &amp; Q4</w:t>
            </w:r>
          </w:p>
          <w:p w14:paraId="0180D2C9" w14:textId="77777777" w:rsidR="00414240" w:rsidRDefault="00414240">
            <w:pPr>
              <w:widowControl w:val="0"/>
              <w:pBdr>
                <w:top w:val="nil"/>
                <w:left w:val="nil"/>
                <w:bottom w:val="nil"/>
                <w:right w:val="nil"/>
                <w:between w:val="nil"/>
              </w:pBdr>
              <w:rPr>
                <w:rFonts w:ascii="Arial" w:eastAsia="Arial" w:hAnsi="Arial" w:cs="Arial"/>
              </w:rPr>
            </w:pPr>
          </w:p>
        </w:tc>
        <w:tc>
          <w:tcPr>
            <w:tcW w:w="1462" w:type="dxa"/>
            <w:tcBorders>
              <w:top w:val="single" w:sz="4" w:space="0" w:color="000000"/>
              <w:left w:val="single" w:sz="4" w:space="0" w:color="000000"/>
              <w:bottom w:val="single" w:sz="4" w:space="0" w:color="000000"/>
              <w:right w:val="single" w:sz="4" w:space="0" w:color="000000"/>
            </w:tcBorders>
            <w:vAlign w:val="center"/>
          </w:tcPr>
          <w:p w14:paraId="46231155"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1 </w:t>
            </w:r>
            <w:r>
              <w:rPr>
                <w:noProof/>
              </w:rPr>
              <w:drawing>
                <wp:inline distT="0" distB="0" distL="0" distR="0" wp14:anchorId="7BCC6689" wp14:editId="6B86815D">
                  <wp:extent cx="203200" cy="203200"/>
                  <wp:effectExtent l="0" t="0" r="0" b="0"/>
                  <wp:docPr id="1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A5CB914"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2 </w:t>
            </w:r>
            <w:r>
              <w:rPr>
                <w:noProof/>
              </w:rPr>
              <w:drawing>
                <wp:inline distT="0" distB="0" distL="0" distR="0" wp14:anchorId="221DC6B2" wp14:editId="6B5C6285">
                  <wp:extent cx="203200" cy="203200"/>
                  <wp:effectExtent l="0" t="0" r="0" b="0"/>
                  <wp:docPr id="14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62351958" w14:textId="77777777" w:rsidR="00414240" w:rsidRDefault="00787C9F">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3 </w:t>
            </w:r>
            <w:r>
              <w:rPr>
                <w:noProof/>
              </w:rPr>
              <w:drawing>
                <wp:inline distT="0" distB="0" distL="0" distR="0" wp14:anchorId="523C6993" wp14:editId="72AAFD8C">
                  <wp:extent cx="203200" cy="203200"/>
                  <wp:effectExtent l="0" t="0" r="0" b="0"/>
                  <wp:docPr id="15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5C0B8C6D" w14:textId="77777777" w:rsidR="00414240" w:rsidRDefault="00787C9F">
            <w:pPr>
              <w:widowControl w:val="0"/>
              <w:pBdr>
                <w:top w:val="nil"/>
                <w:left w:val="nil"/>
                <w:bottom w:val="nil"/>
                <w:right w:val="nil"/>
                <w:between w:val="nil"/>
              </w:pBdr>
              <w:spacing w:before="80" w:after="80"/>
              <w:rPr>
                <w:rFonts w:ascii="Arial" w:eastAsia="Arial" w:hAnsi="Arial" w:cs="Arial"/>
              </w:rPr>
            </w:pPr>
            <w:r>
              <w:rPr>
                <w:rFonts w:ascii="Arial" w:eastAsia="Arial" w:hAnsi="Arial" w:cs="Arial"/>
              </w:rPr>
              <w:t xml:space="preserve">Lot 4 </w:t>
            </w:r>
            <w:r>
              <w:rPr>
                <w:noProof/>
              </w:rPr>
              <w:drawing>
                <wp:inline distT="0" distB="0" distL="0" distR="0" wp14:anchorId="24CDD933" wp14:editId="08123E64">
                  <wp:extent cx="203200" cy="203200"/>
                  <wp:effectExtent l="0" t="0" r="0" b="0"/>
                  <wp:docPr id="1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42172104" w14:textId="77777777" w:rsidR="006F6AA3" w:rsidRDefault="006F6AA3" w:rsidP="006F6AA3">
            <w:pPr>
              <w:widowControl w:val="0"/>
              <w:pBdr>
                <w:top w:val="nil"/>
                <w:left w:val="nil"/>
                <w:bottom w:val="nil"/>
                <w:right w:val="nil"/>
                <w:between w:val="nil"/>
              </w:pBdr>
              <w:spacing w:before="80"/>
              <w:rPr>
                <w:rFonts w:ascii="Arial" w:eastAsia="Arial" w:hAnsi="Arial" w:cs="Arial"/>
              </w:rPr>
            </w:pPr>
            <w:r>
              <w:rPr>
                <w:rFonts w:ascii="Arial" w:eastAsia="Arial" w:hAnsi="Arial" w:cs="Arial"/>
              </w:rPr>
              <w:t xml:space="preserve">Lot 5 </w:t>
            </w:r>
            <w:r>
              <w:rPr>
                <w:noProof/>
              </w:rPr>
              <w:drawing>
                <wp:inline distT="0" distB="0" distL="0" distR="0" wp14:anchorId="0C5A741E" wp14:editId="05255854">
                  <wp:extent cx="203200" cy="2032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3200" cy="203200"/>
                          </a:xfrm>
                          <a:prstGeom prst="rect">
                            <a:avLst/>
                          </a:prstGeom>
                          <a:ln/>
                        </pic:spPr>
                      </pic:pic>
                    </a:graphicData>
                  </a:graphic>
                </wp:inline>
              </w:drawing>
            </w:r>
          </w:p>
          <w:p w14:paraId="2A1A2015" w14:textId="33CD0A29" w:rsidR="006F6AA3" w:rsidRDefault="006F6AA3">
            <w:pPr>
              <w:widowControl w:val="0"/>
              <w:pBdr>
                <w:top w:val="nil"/>
                <w:left w:val="nil"/>
                <w:bottom w:val="nil"/>
                <w:right w:val="nil"/>
                <w:between w:val="nil"/>
              </w:pBdr>
              <w:spacing w:before="80" w:after="80"/>
              <w:rPr>
                <w:rFonts w:ascii="Arial" w:eastAsia="Arial" w:hAnsi="Arial" w:cs="Arial"/>
              </w:rPr>
            </w:pPr>
          </w:p>
        </w:tc>
      </w:tr>
    </w:tbl>
    <w:p w14:paraId="0733988C" w14:textId="77777777" w:rsidR="00414240" w:rsidRDefault="00414240">
      <w:pPr>
        <w:pBdr>
          <w:top w:val="nil"/>
          <w:left w:val="nil"/>
          <w:bottom w:val="nil"/>
          <w:right w:val="nil"/>
          <w:between w:val="nil"/>
        </w:pBdr>
        <w:tabs>
          <w:tab w:val="left" w:pos="1134"/>
        </w:tabs>
        <w:spacing w:before="120" w:after="240" w:line="240" w:lineRule="auto"/>
        <w:ind w:left="426" w:hanging="426"/>
        <w:jc w:val="both"/>
      </w:pPr>
    </w:p>
    <w:p w14:paraId="616FE117" w14:textId="77777777" w:rsidR="00414240" w:rsidRDefault="00414240">
      <w:pPr>
        <w:tabs>
          <w:tab w:val="left" w:pos="1134"/>
        </w:tabs>
        <w:spacing w:before="120" w:after="120" w:line="240" w:lineRule="auto"/>
        <w:rPr>
          <w:rFonts w:ascii="Arial" w:eastAsia="Arial" w:hAnsi="Arial" w:cs="Arial"/>
          <w:b/>
          <w:sz w:val="24"/>
          <w:szCs w:val="24"/>
        </w:rPr>
      </w:pPr>
    </w:p>
    <w:p w14:paraId="1C1B0BF8" w14:textId="398DB85B"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comply with the PIs and establish processes to monitor its performance against them and the Supplier’s achievement of PIs shall be reviewed during the Supplier Review Meetings. </w:t>
      </w:r>
    </w:p>
    <w:p w14:paraId="54A6F00D"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2353FD17" w14:textId="77777777" w:rsidR="00414240" w:rsidRDefault="00787C9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14:paraId="68211114" w14:textId="77777777" w:rsidR="00414240" w:rsidRDefault="00787C9F">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14:paraId="57990F2B" w14:textId="77777777" w:rsidR="00414240" w:rsidRDefault="00787C9F">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14:paraId="25E7DBD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14:paraId="4AE953D8"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4425AA9"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14:paraId="309CF364"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14:paraId="10320FAF"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14:paraId="6B90639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14:paraId="1D48BE5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14:paraId="0ABA0105"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Marketing</w:t>
      </w:r>
    </w:p>
    <w:p w14:paraId="1CC5DD4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14:paraId="6DC5E88B"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lastRenderedPageBreak/>
        <w:t>How the Supplier must contribute to CCS publications</w:t>
      </w:r>
    </w:p>
    <w:p w14:paraId="5C7705D8"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14:paraId="5D28184B"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Such information shall be provided in such form and at such time as CCS may request.</w:t>
      </w:r>
    </w:p>
    <w:p w14:paraId="6638D381"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14:paraId="2D16E909"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14:paraId="62F6CAB2"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10">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14:paraId="30CAF2FF"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14:paraId="74D8DC6D"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14:paraId="3E8D3FDA" w14:textId="77777777" w:rsidR="00414240" w:rsidRDefault="00787C9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14:paraId="4BD76A95" w14:textId="77777777" w:rsidR="00414240" w:rsidRDefault="00787C9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Where CCS might oversee parts of the Call-Off Contracts</w:t>
      </w:r>
    </w:p>
    <w:p w14:paraId="2220AE8C"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Call-Off Contract:</w:t>
      </w:r>
    </w:p>
    <w:p w14:paraId="5AD4F139"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3636F2AC"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14:paraId="75087797"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14:paraId="60E0C427"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Joint Schedule 13 (Benchmarking).</w:t>
      </w:r>
    </w:p>
    <w:p w14:paraId="29D20661" w14:textId="77777777" w:rsidR="00414240" w:rsidRDefault="00787C9F">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t xml:space="preserve">                    </w:t>
      </w:r>
      <w:r>
        <w:rPr>
          <w:rFonts w:ascii="Arial" w:eastAsia="Arial" w:hAnsi="Arial" w:cs="Arial"/>
          <w:color w:val="000000"/>
          <w:sz w:val="24"/>
          <w:szCs w:val="24"/>
        </w:rPr>
        <w:t xml:space="preserve"> (the </w:t>
      </w:r>
      <w:r>
        <w:rPr>
          <w:rFonts w:ascii="Arial" w:eastAsia="Arial" w:hAnsi="Arial" w:cs="Arial"/>
          <w:b/>
          <w:color w:val="000000"/>
          <w:sz w:val="24"/>
          <w:szCs w:val="24"/>
        </w:rPr>
        <w:t>"Supported Schedules"</w:t>
      </w:r>
      <w:r>
        <w:rPr>
          <w:rFonts w:ascii="Arial" w:eastAsia="Arial" w:hAnsi="Arial" w:cs="Arial"/>
          <w:color w:val="000000"/>
          <w:sz w:val="24"/>
          <w:szCs w:val="24"/>
        </w:rPr>
        <w:t>)</w:t>
      </w:r>
    </w:p>
    <w:p w14:paraId="794B7487" w14:textId="77777777" w:rsidR="00414240" w:rsidRDefault="00787C9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14:paraId="5EC24F36"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co-operate as reasonably required by CCS in relation to the Supported Schedules including:</w:t>
      </w:r>
    </w:p>
    <w:p w14:paraId="5F65A14F"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14:paraId="58EA339B"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allowing CCS to act as agent for the Buyers under the Supported Schedules for such matters as CCS may notify to the Supplier from time to time; and</w:t>
      </w:r>
    </w:p>
    <w:p w14:paraId="2BCAAE55"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matters as CCS may notify to the Supplier from time to time.</w:t>
      </w:r>
    </w:p>
    <w:p w14:paraId="198EB15F" w14:textId="77777777" w:rsidR="00414240" w:rsidRDefault="00414240">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p>
    <w:p w14:paraId="12374FB9" w14:textId="77777777" w:rsidR="00414240" w:rsidRDefault="00787C9F">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14:paraId="6EFA273F" w14:textId="77777777" w:rsidR="00414240" w:rsidRDefault="00787C9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14:paraId="0DC0A130"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14:paraId="31F4674F"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14:paraId="082C165F"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1E62F7BB" w14:textId="77777777" w:rsidR="00414240" w:rsidRDefault="00787C9F">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 - the Supplier shall:</w:t>
      </w:r>
    </w:p>
    <w:p w14:paraId="55C683C5"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14:paraId="3BB9F74E"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14:paraId="685143E6"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14:paraId="10A6C339"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14:paraId="689C0E10"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14:paraId="45D46A08" w14:textId="77777777" w:rsidR="00414240" w:rsidRDefault="00787C9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Joint Schedule 13 (Benchmarking) - the Supplier:</w:t>
      </w:r>
    </w:p>
    <w:p w14:paraId="00F4962B" w14:textId="77777777" w:rsidR="00414240" w:rsidRDefault="00787C9F">
      <w:pPr>
        <w:numPr>
          <w:ilvl w:val="3"/>
          <w:numId w:val="2"/>
        </w:numPr>
        <w:pBdr>
          <w:top w:val="nil"/>
          <w:left w:val="nil"/>
          <w:bottom w:val="nil"/>
          <w:right w:val="nil"/>
          <w:between w:val="nil"/>
        </w:pBdr>
        <w:tabs>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Contract and the Supplier recognises that CCS may want to co-ordinate how benchmarking is conducted across multiple Call Off Contracts;</w:t>
      </w:r>
    </w:p>
    <w:p w14:paraId="42319A41" w14:textId="77777777"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lastRenderedPageBreak/>
        <w:t>shall where CCS is appointed as agent by Buyers in respect of benchmarking, co-operate with CCS in order to operate the benchmarking as efficiently as possible;</w:t>
      </w:r>
    </w:p>
    <w:p w14:paraId="03F79705" w14:textId="6B669DF4" w:rsidR="00414240" w:rsidRDefault="00787C9F">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14:paraId="16AD5444" w14:textId="77777777" w:rsidR="006F6AA3" w:rsidRPr="006F6AA3" w:rsidRDefault="006F6AA3" w:rsidP="00047C3F">
      <w:pPr>
        <w:spacing w:before="100" w:beforeAutospacing="1" w:after="100" w:afterAutospacing="1" w:line="240" w:lineRule="auto"/>
        <w:textAlignment w:val="baseline"/>
        <w:rPr>
          <w:rFonts w:ascii="Arial" w:eastAsia="Times New Roman" w:hAnsi="Arial" w:cs="Arial"/>
          <w:color w:val="000000"/>
          <w:sz w:val="24"/>
          <w:szCs w:val="24"/>
        </w:rPr>
      </w:pPr>
      <w:r w:rsidRPr="006F6AA3">
        <w:rPr>
          <w:rFonts w:ascii="Arial" w:eastAsia="Times New Roman" w:hAnsi="Arial" w:cs="Arial"/>
          <w:color w:val="000000"/>
          <w:sz w:val="24"/>
          <w:szCs w:val="24"/>
        </w:rPr>
        <w:br/>
      </w:r>
      <w:r w:rsidRPr="006F6AA3">
        <w:rPr>
          <w:rFonts w:ascii="Arial" w:eastAsia="Times New Roman" w:hAnsi="Arial" w:cs="Arial"/>
          <w:color w:val="000000"/>
          <w:sz w:val="24"/>
          <w:szCs w:val="24"/>
        </w:rPr>
        <w:br/>
      </w:r>
    </w:p>
    <w:p w14:paraId="12865FA4" w14:textId="625ED577" w:rsidR="006F6AA3" w:rsidRPr="006F6AA3" w:rsidRDefault="006F6AA3" w:rsidP="006F6AA3">
      <w:pPr>
        <w:spacing w:before="120" w:after="120" w:line="240" w:lineRule="auto"/>
        <w:ind w:left="936" w:hanging="720"/>
        <w:rPr>
          <w:rFonts w:ascii="Times New Roman" w:eastAsia="Times New Roman" w:hAnsi="Times New Roman" w:cs="Times New Roman"/>
          <w:sz w:val="24"/>
          <w:szCs w:val="24"/>
        </w:rPr>
      </w:pPr>
      <w:r w:rsidRPr="006F6AA3">
        <w:rPr>
          <w:rFonts w:ascii="Arial" w:eastAsia="Times New Roman" w:hAnsi="Arial" w:cs="Arial"/>
          <w:b/>
          <w:bCs/>
          <w:color w:val="000000"/>
          <w:sz w:val="24"/>
          <w:szCs w:val="24"/>
        </w:rPr>
        <w:t xml:space="preserve">Annex </w:t>
      </w:r>
      <w:r>
        <w:rPr>
          <w:rFonts w:ascii="Arial" w:eastAsia="Times New Roman" w:hAnsi="Arial" w:cs="Arial"/>
          <w:b/>
          <w:bCs/>
          <w:color w:val="000000"/>
          <w:sz w:val="24"/>
          <w:szCs w:val="24"/>
        </w:rPr>
        <w:t>1</w:t>
      </w:r>
      <w:r w:rsidRPr="006F6AA3">
        <w:rPr>
          <w:rFonts w:ascii="Arial" w:eastAsia="Times New Roman" w:hAnsi="Arial" w:cs="Arial"/>
          <w:b/>
          <w:bCs/>
          <w:color w:val="000000"/>
          <w:sz w:val="24"/>
          <w:szCs w:val="24"/>
        </w:rPr>
        <w:t> </w:t>
      </w:r>
    </w:p>
    <w:p w14:paraId="480FCD20" w14:textId="0BC287B8" w:rsidR="006F6AA3" w:rsidRDefault="006F6AA3" w:rsidP="006F6AA3">
      <w:pPr>
        <w:spacing w:before="120" w:after="120" w:line="240" w:lineRule="auto"/>
        <w:ind w:left="936" w:hanging="720"/>
        <w:rPr>
          <w:rFonts w:ascii="Arial" w:eastAsia="Times New Roman" w:hAnsi="Arial" w:cs="Arial"/>
          <w:color w:val="000000"/>
          <w:sz w:val="20"/>
          <w:szCs w:val="20"/>
        </w:rPr>
      </w:pPr>
      <w:r w:rsidRPr="006F6AA3">
        <w:rPr>
          <w:rFonts w:ascii="Arial" w:eastAsia="Times New Roman" w:hAnsi="Arial" w:cs="Arial"/>
          <w:color w:val="000000"/>
          <w:sz w:val="20"/>
          <w:szCs w:val="20"/>
        </w:rPr>
        <w:t>Supplier Performance Dashboard</w:t>
      </w:r>
      <w:r>
        <w:rPr>
          <w:rFonts w:ascii="Arial" w:eastAsia="Times New Roman" w:hAnsi="Arial" w:cs="Arial"/>
          <w:color w:val="000000"/>
          <w:sz w:val="20"/>
          <w:szCs w:val="20"/>
        </w:rPr>
        <w:t xml:space="preserve"> – Lots 1-4</w:t>
      </w:r>
    </w:p>
    <w:p w14:paraId="40DD531E" w14:textId="34749D55" w:rsidR="003119CB" w:rsidRDefault="003119CB" w:rsidP="006F6AA3">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object w:dxaOrig="1504" w:dyaOrig="982" w14:anchorId="78C48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1" o:title=""/>
          </v:shape>
          <o:OLEObject Type="Embed" ProgID="Excel.Sheet.12" ShapeID="_x0000_i1025" DrawAspect="Icon" ObjectID="_1799569825" r:id="rId12"/>
        </w:object>
      </w:r>
    </w:p>
    <w:p w14:paraId="4D45BC4A" w14:textId="2C0FED6E" w:rsidR="006F6AA3" w:rsidRDefault="00951730" w:rsidP="006F6AA3">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fldChar w:fldCharType="begin"/>
      </w:r>
      <w:r>
        <w:rPr>
          <w:rFonts w:ascii="Arial" w:eastAsia="Times New Roman" w:hAnsi="Arial" w:cs="Arial"/>
          <w:color w:val="000000"/>
          <w:sz w:val="20"/>
          <w:szCs w:val="20"/>
        </w:rPr>
        <w:fldChar w:fldCharType="separate"/>
      </w:r>
      <w:r w:rsidR="00047C3F">
        <w:rPr>
          <w:rFonts w:ascii="Arial" w:eastAsia="Times New Roman" w:hAnsi="Arial" w:cs="Arial"/>
          <w:color w:val="000000"/>
          <w:sz w:val="20"/>
          <w:szCs w:val="20"/>
        </w:rPr>
        <w:pict w14:anchorId="3A380FB5">
          <v:shape id="_x0000_i1026" type="#_x0000_t75" style="width:75pt;height:48.5pt">
            <v:imagedata r:id="rId13" o:title=""/>
          </v:shape>
        </w:pict>
      </w:r>
      <w:r>
        <w:rPr>
          <w:rFonts w:ascii="Arial" w:eastAsia="Times New Roman" w:hAnsi="Arial" w:cs="Arial"/>
          <w:color w:val="000000"/>
          <w:sz w:val="20"/>
          <w:szCs w:val="20"/>
        </w:rPr>
        <w:fldChar w:fldCharType="end"/>
      </w:r>
    </w:p>
    <w:p w14:paraId="18852575" w14:textId="46FAC94D" w:rsidR="006F6AA3" w:rsidRDefault="006F6AA3" w:rsidP="006F6AA3">
      <w:pPr>
        <w:spacing w:before="120" w:after="120" w:line="240" w:lineRule="auto"/>
        <w:ind w:left="936" w:hanging="720"/>
        <w:rPr>
          <w:rFonts w:ascii="Arial" w:eastAsia="Times New Roman" w:hAnsi="Arial" w:cs="Arial"/>
          <w:color w:val="000000"/>
          <w:sz w:val="20"/>
          <w:szCs w:val="20"/>
        </w:rPr>
      </w:pPr>
    </w:p>
    <w:p w14:paraId="6C99079E" w14:textId="30310FD2" w:rsidR="006F6AA3" w:rsidRPr="006F6AA3" w:rsidRDefault="006F6AA3" w:rsidP="006F6AA3">
      <w:pPr>
        <w:spacing w:before="120" w:after="120" w:line="240" w:lineRule="auto"/>
        <w:ind w:left="936" w:hanging="720"/>
        <w:rPr>
          <w:rFonts w:ascii="Times New Roman" w:eastAsia="Times New Roman" w:hAnsi="Times New Roman" w:cs="Times New Roman"/>
          <w:sz w:val="24"/>
          <w:szCs w:val="24"/>
        </w:rPr>
      </w:pPr>
      <w:r w:rsidRPr="006F6AA3">
        <w:rPr>
          <w:rFonts w:ascii="Arial" w:eastAsia="Times New Roman" w:hAnsi="Arial" w:cs="Arial"/>
          <w:b/>
          <w:bCs/>
          <w:color w:val="000000"/>
          <w:sz w:val="24"/>
          <w:szCs w:val="24"/>
        </w:rPr>
        <w:t xml:space="preserve">Annex </w:t>
      </w:r>
      <w:r>
        <w:rPr>
          <w:rFonts w:ascii="Arial" w:eastAsia="Times New Roman" w:hAnsi="Arial" w:cs="Arial"/>
          <w:b/>
          <w:bCs/>
          <w:color w:val="000000"/>
          <w:sz w:val="24"/>
          <w:szCs w:val="24"/>
        </w:rPr>
        <w:t>2</w:t>
      </w:r>
    </w:p>
    <w:p w14:paraId="6BA3F388" w14:textId="2667731A" w:rsidR="003119CB" w:rsidRDefault="006F6AA3" w:rsidP="003119CB">
      <w:pPr>
        <w:spacing w:before="120" w:after="120" w:line="240" w:lineRule="auto"/>
        <w:ind w:left="936" w:hanging="720"/>
        <w:rPr>
          <w:rFonts w:ascii="Arial" w:eastAsia="Times New Roman" w:hAnsi="Arial" w:cs="Arial"/>
          <w:color w:val="000000"/>
          <w:sz w:val="20"/>
          <w:szCs w:val="20"/>
        </w:rPr>
      </w:pPr>
      <w:r w:rsidRPr="006F6AA3">
        <w:rPr>
          <w:rFonts w:ascii="Arial" w:eastAsia="Times New Roman" w:hAnsi="Arial" w:cs="Arial"/>
          <w:color w:val="000000"/>
          <w:sz w:val="20"/>
          <w:szCs w:val="20"/>
        </w:rPr>
        <w:t>Supplier Performance Dashboard</w:t>
      </w:r>
      <w:r>
        <w:rPr>
          <w:rFonts w:ascii="Arial" w:eastAsia="Times New Roman" w:hAnsi="Arial" w:cs="Arial"/>
          <w:color w:val="000000"/>
          <w:sz w:val="20"/>
          <w:szCs w:val="20"/>
        </w:rPr>
        <w:t xml:space="preserve"> – Lot 5</w:t>
      </w:r>
    </w:p>
    <w:p w14:paraId="69B76743" w14:textId="63E93008" w:rsidR="003119CB" w:rsidRDefault="003119CB" w:rsidP="003119CB">
      <w:pPr>
        <w:spacing w:before="120" w:after="120" w:line="240" w:lineRule="auto"/>
        <w:ind w:left="936" w:hanging="720"/>
        <w:rPr>
          <w:rFonts w:ascii="Arial" w:eastAsia="Times New Roman" w:hAnsi="Arial" w:cs="Arial"/>
          <w:color w:val="000000"/>
          <w:sz w:val="20"/>
          <w:szCs w:val="20"/>
        </w:rPr>
      </w:pPr>
      <w:r>
        <w:rPr>
          <w:rFonts w:ascii="Arial" w:eastAsia="Times New Roman" w:hAnsi="Arial" w:cs="Arial"/>
          <w:color w:val="000000"/>
          <w:sz w:val="20"/>
          <w:szCs w:val="20"/>
        </w:rPr>
        <w:object w:dxaOrig="1504" w:dyaOrig="982" w14:anchorId="03E49FDF">
          <v:shape id="_x0000_i1027" type="#_x0000_t75" style="width:75pt;height:49pt" o:ole="">
            <v:imagedata r:id="rId14" o:title=""/>
          </v:shape>
          <o:OLEObject Type="Embed" ProgID="Excel.Sheet.12" ShapeID="_x0000_i1027" DrawAspect="Icon" ObjectID="_1799569826" r:id="rId15"/>
        </w:object>
      </w:r>
    </w:p>
    <w:p w14:paraId="667448A0" w14:textId="77777777" w:rsidR="006F6AA3" w:rsidRPr="003119CB" w:rsidRDefault="00951730" w:rsidP="003119CB">
      <w:pPr>
        <w:spacing w:before="120" w:after="120" w:line="240" w:lineRule="auto"/>
        <w:ind w:left="936" w:hanging="720"/>
        <w:rPr>
          <w:rFonts w:ascii="Times New Roman" w:eastAsia="Times New Roman" w:hAnsi="Times New Roman" w:cs="Times New Roman"/>
          <w:sz w:val="24"/>
          <w:szCs w:val="24"/>
        </w:rPr>
      </w:pPr>
      <w:r>
        <w:rPr>
          <w:rFonts w:ascii="Arial" w:eastAsia="Times New Roman" w:hAnsi="Arial" w:cs="Arial"/>
          <w:color w:val="000000"/>
          <w:sz w:val="20"/>
          <w:szCs w:val="20"/>
        </w:rPr>
        <w:fldChar w:fldCharType="begin"/>
      </w:r>
      <w:r>
        <w:rPr>
          <w:rFonts w:ascii="Arial" w:eastAsia="Times New Roman" w:hAnsi="Arial" w:cs="Arial"/>
          <w:color w:val="000000"/>
          <w:sz w:val="20"/>
          <w:szCs w:val="20"/>
        </w:rPr>
        <w:fldChar w:fldCharType="separate"/>
      </w:r>
      <w:r w:rsidR="00047C3F">
        <w:rPr>
          <w:rFonts w:ascii="Arial" w:eastAsia="Times New Roman" w:hAnsi="Arial" w:cs="Arial"/>
          <w:color w:val="000000"/>
          <w:sz w:val="20"/>
          <w:szCs w:val="20"/>
        </w:rPr>
        <w:pict w14:anchorId="1285AA0E">
          <v:shape id="_x0000_i1028" type="#_x0000_t75" style="width:75pt;height:48.5pt">
            <v:imagedata r:id="rId16" o:title=""/>
          </v:shape>
        </w:pict>
      </w:r>
      <w:r>
        <w:rPr>
          <w:rFonts w:ascii="Arial" w:eastAsia="Times New Roman" w:hAnsi="Arial" w:cs="Arial"/>
          <w:color w:val="000000"/>
          <w:sz w:val="20"/>
          <w:szCs w:val="20"/>
        </w:rPr>
        <w:fldChar w:fldCharType="end"/>
      </w:r>
    </w:p>
    <w:sectPr w:rsidR="006F6AA3" w:rsidRPr="003119CB">
      <w:headerReference w:type="default"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CA42E" w14:textId="77777777" w:rsidR="002D3157" w:rsidRDefault="002D3157">
      <w:pPr>
        <w:spacing w:after="0" w:line="240" w:lineRule="auto"/>
      </w:pPr>
      <w:r>
        <w:separator/>
      </w:r>
    </w:p>
  </w:endnote>
  <w:endnote w:type="continuationSeparator" w:id="0">
    <w:p w14:paraId="24D85561" w14:textId="77777777" w:rsidR="002D3157" w:rsidRDefault="002D3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0362" w14:textId="77777777" w:rsidR="00414240" w:rsidRDefault="00787C9F">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6D30B7BE"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07B7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105D8A8" w14:textId="77777777" w:rsidR="00414240" w:rsidRDefault="00787C9F">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99C5" w14:textId="77777777" w:rsidR="00414240" w:rsidRDefault="00787C9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926FB01"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D3157">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37780013" w14:textId="77777777" w:rsidR="00414240" w:rsidRDefault="00787C9F">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0F93" w14:textId="77777777" w:rsidR="002D3157" w:rsidRDefault="002D3157">
      <w:pPr>
        <w:spacing w:after="0" w:line="240" w:lineRule="auto"/>
      </w:pPr>
      <w:r>
        <w:separator/>
      </w:r>
    </w:p>
  </w:footnote>
  <w:footnote w:type="continuationSeparator" w:id="0">
    <w:p w14:paraId="075E26DE" w14:textId="77777777" w:rsidR="002D3157" w:rsidRDefault="002D31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475"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62F05CAB"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C885"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14:paraId="36797B78" w14:textId="77777777" w:rsidR="00414240" w:rsidRDefault="00787C9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3A0"/>
    <w:multiLevelType w:val="multilevel"/>
    <w:tmpl w:val="B85066E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706D6A"/>
    <w:multiLevelType w:val="multilevel"/>
    <w:tmpl w:val="AACCC64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0DD6EAD"/>
    <w:multiLevelType w:val="multilevel"/>
    <w:tmpl w:val="48484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240"/>
    <w:rsid w:val="00047C3F"/>
    <w:rsid w:val="002D3157"/>
    <w:rsid w:val="003119CB"/>
    <w:rsid w:val="00414240"/>
    <w:rsid w:val="005E2CA9"/>
    <w:rsid w:val="006F6AA3"/>
    <w:rsid w:val="00787C9F"/>
    <w:rsid w:val="007F695D"/>
    <w:rsid w:val="00807B79"/>
    <w:rsid w:val="008F5867"/>
    <w:rsid w:val="00951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F990D"/>
  <w15:docId w15:val="{DFB84B47-D204-42AF-B623-1F207994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rsid w:val="00170592"/>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70592"/>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70592"/>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170592"/>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170592"/>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170592"/>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paragraph" w:customStyle="1" w:styleId="GPsDefinition">
    <w:name w:val="GPs Definition"/>
    <w:basedOn w:val="Normal"/>
    <w:qFormat/>
    <w:rsid w:val="00170592"/>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rsid w:val="00170592"/>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rsid w:val="00170592"/>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rsid w:val="00170592"/>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unhideWhenUsed/>
    <w:rsid w:val="00170592"/>
    <w:rPr>
      <w:sz w:val="16"/>
      <w:szCs w:val="16"/>
    </w:rPr>
  </w:style>
  <w:style w:type="paragraph" w:styleId="CommentText">
    <w:name w:val="annotation text"/>
    <w:basedOn w:val="Normal"/>
    <w:link w:val="CommentTextChar"/>
    <w:uiPriority w:val="99"/>
    <w:unhideWhenUsed/>
    <w:rsid w:val="00170592"/>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rsid w:val="00170592"/>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eastAsia="STZhongsong" w:cs="Times New Roman"/>
      <w:szCs w:val="18"/>
      <w:lang w:eastAsia="zh-CN"/>
    </w:rPr>
  </w:style>
  <w:style w:type="paragraph" w:customStyle="1" w:styleId="MarginText">
    <w:name w:val="Margin Text"/>
    <w:basedOn w:val="Normal"/>
    <w:link w:val="MarginTextChar"/>
    <w:rsid w:val="00170592"/>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link w:val="ListParagraphChar"/>
    <w:uiPriority w:val="34"/>
    <w:qFormat/>
    <w:rsid w:val="00690948"/>
    <w:pPr>
      <w:ind w:left="720"/>
      <w:contextualSpacing/>
    </w:pPr>
    <w:rPr>
      <w:lang w:val="en-US"/>
    </w:rPr>
  </w:style>
  <w:style w:type="character" w:customStyle="1" w:styleId="ListParagraphChar">
    <w:name w:val="List Paragraph Char"/>
    <w:basedOn w:val="DefaultParagraphFont"/>
    <w:link w:val="ListParagraph"/>
    <w:uiPriority w:val="34"/>
    <w:rsid w:val="00690948"/>
    <w:rPr>
      <w:lang w:val="en-US"/>
    </w:r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F6A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11764">
      <w:bodyDiv w:val="1"/>
      <w:marLeft w:val="0"/>
      <w:marRight w:val="0"/>
      <w:marTop w:val="0"/>
      <w:marBottom w:val="0"/>
      <w:divBdr>
        <w:top w:val="none" w:sz="0" w:space="0" w:color="auto"/>
        <w:left w:val="none" w:sz="0" w:space="0" w:color="auto"/>
        <w:bottom w:val="none" w:sz="0" w:space="0" w:color="auto"/>
        <w:right w:val="none" w:sz="0" w:space="0" w:color="auto"/>
      </w:divBdr>
    </w:div>
    <w:div w:id="1833401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Excel_Worksheet.xls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Excel_Worksheet1.xlsx"/><Relationship Id="rId10" Type="http://schemas.openxmlformats.org/officeDocument/2006/relationships/hyperlink" Target="https://www.gov.uk/government/publications/crown-commercial-service-supplier-logo-and-brand-guideline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iulns35v+U34SqETLTQ0ksREVw==">CgMxLjAyCGguZ2pkZ3hzMgloLjMwajB6bGwyCWguMWZvYjl0ZTIJaC4zem55c2g3MgloLjRkMzRvZzgyCWguMmV0OTJwMDIIaC50eWpjd3QyCWguM2R5NnZrbTIJaC4xdDNoNXNmOAByITFNSUkzV3NmYVFxMkpwaUVRV2k5ZVFEaXhEa3RoaWVWTw==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CE7222-7D86-438A-8FB9-1629D766F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2025-01-28T11:44:00Z</dcterms:created>
  <dcterms:modified xsi:type="dcterms:W3CDTF">2025-01-28T11:44:00Z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